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65B2D07F" w:rsidR="00303C34" w:rsidRDefault="006C3A6A">
      <w:pPr>
        <w:pStyle w:val="Heading1"/>
      </w:pPr>
      <w:bookmarkStart w:id="0" w:name="Xf1663c585611aa4c8b73e5a62590ae137e69e3b"/>
      <w:r>
        <w:t xml:space="preserve">The Saline Oscillation Hypothesis: Endocannabinoid-Mediated Fungal-Hominid </w:t>
      </w:r>
      <w:r w:rsidR="00DD6777">
        <w:t>Coevolution</w:t>
      </w:r>
      <w:r>
        <w:t xml:space="preserve"> in the East African Rift Valley</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3E6CD389" w:rsidR="00303C34" w:rsidRDefault="00286B5B">
      <w:pPr>
        <w:pStyle w:val="BodyText"/>
      </w:pPr>
      <w:hyperlink r:id="rId7" w:history="1">
        <w:r w:rsidR="006C3A6A" w:rsidRPr="00286B5B">
          <w:rPr>
            <w:rStyle w:val="Hyperlink"/>
          </w:rPr>
          <w:t>redactedscience.org</w:t>
        </w:r>
      </w:hyperlink>
      <w:r w:rsidR="006C3A6A">
        <w:t xml:space="preserve"> | </w:t>
      </w:r>
      <w:hyperlink r:id="rId8" w:history="1">
        <w:r w:rsidR="006C3A6A" w:rsidRPr="00286B5B">
          <w:rPr>
            <w:rStyle w:val="Hyperlink"/>
          </w:rPr>
          <w:t>jimcraddock.com</w:t>
        </w:r>
      </w:hyperlink>
    </w:p>
    <w:p w14:paraId="2F9B19BD" w14:textId="2CF2DDF2" w:rsidR="00303C34" w:rsidRDefault="00B06EEC">
      <w:pPr>
        <w:pStyle w:val="BodyText"/>
      </w:pPr>
      <w:r>
        <w:rPr>
          <w:b/>
          <w:bCs/>
        </w:rPr>
        <w:t>April</w:t>
      </w:r>
      <w:r w:rsidR="006C3A6A">
        <w:rPr>
          <w:b/>
          <w:bCs/>
        </w:rPr>
        <w:t xml:space="preserve"> 2026 </w:t>
      </w:r>
      <w:r>
        <w:rPr>
          <w:b/>
          <w:bCs/>
        </w:rPr>
        <w:t>V1.0</w:t>
      </w:r>
    </w:p>
    <w:p w14:paraId="6C372BEB" w14:textId="77777777" w:rsidR="00303C34" w:rsidRDefault="00000000">
      <w:r>
        <w:pict w14:anchorId="1C14FEBC">
          <v:rect id="_x0000_i1025" style="width:0;height:1.5pt" o:hralign="center" o:hrstd="t" o:hr="t"/>
        </w:pict>
      </w:r>
    </w:p>
    <w:p w14:paraId="1B9CC26C" w14:textId="77777777" w:rsidR="00303C34" w:rsidRDefault="006C3A6A">
      <w:pPr>
        <w:pStyle w:val="Heading1"/>
      </w:pPr>
      <w:bookmarkStart w:id="1" w:name="abstract"/>
      <w:bookmarkEnd w:id="0"/>
      <w:r>
        <w:t>Abstract</w:t>
      </w:r>
    </w:p>
    <w:p w14:paraId="67DB5A03" w14:textId="7FB2753B" w:rsidR="00303C34" w:rsidRDefault="006C3A6A" w:rsidP="004D0185">
      <w:r>
        <w:t xml:space="preserve">This paper extends the </w:t>
      </w:r>
      <w:r>
        <w:rPr>
          <w:i/>
          <w:iCs/>
        </w:rPr>
        <w:t>Mammalia candidus</w:t>
      </w:r>
      <w:r>
        <w:t xml:space="preserve"> pan-mammalian co-evolution hypothesis (Craddock, </w:t>
      </w:r>
      <w:r w:rsidR="009B06E6">
        <w:t>2026b)</w:t>
      </w:r>
      <w:r>
        <w:t xml:space="preserve"> by proposing a specific environmental mechanism: cyclical lake salinity variation in the East African Rift Valley during the </w:t>
      </w:r>
      <w:proofErr w:type="spellStart"/>
      <w:r>
        <w:t>Plio</w:t>
      </w:r>
      <w:proofErr w:type="spellEnd"/>
      <w:r>
        <w:t xml:space="preserve">-Pleistocene as the driver that activated and deepened the symbiosis between </w:t>
      </w:r>
      <w:r>
        <w:rPr>
          <w:i/>
          <w:iCs/>
        </w:rPr>
        <w:t>Candida</w:t>
      </w:r>
      <w:r>
        <w:t xml:space="preserve"> species and hominid hosts. Drawing on </w:t>
      </w:r>
      <w:proofErr w:type="spellStart"/>
      <w:r>
        <w:t>paleoclimatological</w:t>
      </w:r>
      <w:proofErr w:type="spellEnd"/>
      <w:r>
        <w:t xml:space="preserve"> evidence of alternating humid and arid periods producing dramatic lake-level and salinity oscillations (Maslin et al., 2014; Trauth et al., 2005), paleoanthropological evidence of concurrent hominid speciation and encephalization events (Shultz and Maslin, 2013), and established literature on the endocannabinoid system (ECS) as a conserved master regulatory system across mammals (Elphick, 2012), we propose that periodic exposure to increased electrolyte concentrations in drinking water followed by freshwater periods producing electrolyte disruption analogous to the syndrome of inappropriate antidiuretic hormone secretion (SIADH) provided the environmental conditions under which a fungal symbiont capable of managing host perfusion and electrolyte balance gained decisive selective advantage.</w:t>
      </w:r>
    </w:p>
    <w:p w14:paraId="65190871" w14:textId="27F96BAB" w:rsidR="00303C34" w:rsidRDefault="006C3A6A" w:rsidP="004D0185">
      <w:r>
        <w:t xml:space="preserve">The symbiont’s capacity to fill this role is not limited to the ECS. We present a synthesis of peer-reviewed evidence demonstrating that </w:t>
      </w:r>
      <w:r>
        <w:rPr>
          <w:i/>
          <w:iCs/>
        </w:rPr>
        <w:t>Candida albicans</w:t>
      </w:r>
      <w:r>
        <w:t xml:space="preserve"> occupies a unique position in the mammalian internal ecology: it is the only organism in the host microbiome that simultaneously signals across kingdoms (to bacteria, competing fungi, and the mammalian host), possesses physical tissue mobility through hyphal morphological transition, and accesses the host’s endogenous receptor infrastructure. Confirmed molecular targets of </w:t>
      </w:r>
      <w:r>
        <w:rPr>
          <w:i/>
          <w:iCs/>
        </w:rPr>
        <w:t>C. albicans</w:t>
      </w:r>
      <w:r>
        <w:t xml:space="preserve"> metabolites include nuclear transcription factors (FXR, PPARs), voltage-gated calcium channels, GABA-A neurotransmitter receptors, the GLP-1 incretin system, cholinergic receptors, and multiple arms of both innate and adaptive immunity. The endocannabinoid system, while the primary and most ancient interface, represents the trunk of a signaling architecture whose canopy extends across the broader GPCR superfamily and beyond. We reinterpret farnesol, the first quorum-sensing molecule identified in a eukaryote (Hornby et al., 2001), not as a self-regulatory signal but as a multi-target effector molecule deployed to manage the host environment, consistent with the twenty-</w:t>
      </w:r>
      <w:r w:rsidR="00E050CC">
        <w:t>five</w:t>
      </w:r>
      <w:r>
        <w:t xml:space="preserve">-year absence of any identified farnesol receptor in </w:t>
      </w:r>
      <w:r>
        <w:rPr>
          <w:i/>
          <w:iCs/>
        </w:rPr>
        <w:t>C. albicans</w:t>
      </w:r>
      <w:r>
        <w:t xml:space="preserve"> itself.</w:t>
      </w:r>
      <w:r w:rsidR="00E050CC">
        <w:t xml:space="preserve"> </w:t>
      </w:r>
      <w:r w:rsidR="00E050CC" w:rsidRPr="00E050CC">
        <w:t xml:space="preserve">The organism possesses confirmed receptors or binding proteins for at least six classes of host hormone, including estrogen, luteinizing hormone, corticosteroids, and androgens, while governing additional endocrine axes through upstream management of pituitary perfusion and </w:t>
      </w:r>
      <w:r w:rsidR="00E050CC" w:rsidRPr="00E050CC">
        <w:lastRenderedPageBreak/>
        <w:t>ECS-mediated signaling — a two-tier architecture in which the organism senses hormones that provide inbound information and modulates hormones it controls through the producing gland</w:t>
      </w:r>
    </w:p>
    <w:p w14:paraId="0C65D1B6" w14:textId="77777777" w:rsidR="00303C34" w:rsidRDefault="006C3A6A" w:rsidP="004D0185">
      <w:r>
        <w:t xml:space="preserve">We further propose that the social component of the co-evolutionary architecture was initiated before the salinity oscillations through the discovery and communal use of exogenous </w:t>
      </w:r>
      <w:proofErr w:type="spellStart"/>
      <w:r>
        <w:t>phytocannabinoids</w:t>
      </w:r>
      <w:proofErr w:type="spellEnd"/>
      <w:r>
        <w:t xml:space="preserve">, which promoted peaceful social bonding, group cohesion, and cooperative behavior. This pre-linguistic social flywheel, reinforced epigenetically through transgenerational cannabinoid-induced methylation changes, established cooperative social structure before the emergence of language. Language did not create the co-evolutionary trinity of symbiont, host physiology, and social structure. It completed </w:t>
      </w:r>
      <w:proofErr w:type="gramStart"/>
      <w:r>
        <w:t>it, and</w:t>
      </w:r>
      <w:proofErr w:type="gramEnd"/>
      <w:r>
        <w:t xml:space="preserve"> allowed it to accelerate.</w:t>
      </w:r>
    </w:p>
    <w:p w14:paraId="392AF3DB" w14:textId="77777777" w:rsidR="00303C34" w:rsidRDefault="006C3A6A" w:rsidP="004D0185">
      <w:r>
        <w:t>Single-cell transcriptomic evidence (</w:t>
      </w:r>
      <w:proofErr w:type="spellStart"/>
      <w:r>
        <w:t>Dumeaux</w:t>
      </w:r>
      <w:proofErr w:type="spellEnd"/>
      <w:r>
        <w:t xml:space="preserve"> et al., 2023) demonstrating pre-positioned bet hedging, distributed survival strategies, and controlled genome destabilization in </w:t>
      </w:r>
      <w:r>
        <w:rPr>
          <w:i/>
          <w:iCs/>
        </w:rPr>
        <w:t>C. albicans</w:t>
      </w:r>
      <w:r>
        <w:t xml:space="preserve"> populations is reinterpreted within this co-evolutionary framework as architectural rather than merely pathogen-adaptive, consistent with an organism refined across approximately 200 million years of mammalian co-evolution. It is the ultimate survivor: a biochemical computer continuously recalculating what moves might be required next. The </w:t>
      </w:r>
      <w:r>
        <w:rPr>
          <w:i/>
          <w:iCs/>
        </w:rPr>
        <w:t>C. albicans</w:t>
      </w:r>
      <w:r>
        <w:t xml:space="preserve"> genome (14.3 Mb, approximately 6,400 genes) encodes over 1,300 genes with no orthologs in other yeast species, the majority of which remain functionally uncharacterized.</w:t>
      </w:r>
    </w:p>
    <w:p w14:paraId="3FD9F000" w14:textId="33570F5A" w:rsidR="00303C34" w:rsidRDefault="006C3A6A" w:rsidP="004D0185">
      <w:r>
        <w:t xml:space="preserve">We designate the symbiont-active hominid phenotype </w:t>
      </w:r>
      <w:r>
        <w:rPr>
          <w:i/>
          <w:iCs/>
        </w:rPr>
        <w:t>Homo candidus</w:t>
      </w:r>
      <w:r>
        <w:t xml:space="preserve"> and argue that a subsequent genetic shift in cardiac architecture from suction-dominant to pump-dominant circulation disrupted the co-evolutionary trinity, producing the modern human condition in which the symbiont persists commensally but can no longer execute its full physiological program. </w:t>
      </w:r>
      <w:r w:rsidR="00FD2B8F">
        <w:t>Sixteen</w:t>
      </w:r>
      <w:r>
        <w:t xml:space="preserve"> testable predictions are presented, including proposed experiments in simulated gastric environments, comparative mycobiome analysis of Rift Valley populations, computational genomic analysis of uncharacterized </w:t>
      </w:r>
      <w:r>
        <w:rPr>
          <w:i/>
          <w:iCs/>
        </w:rPr>
        <w:t>C. albicans</w:t>
      </w:r>
      <w:r>
        <w:t xml:space="preserve"> genes using biological foundation models, and molecular dating of the </w:t>
      </w:r>
      <w:r>
        <w:rPr>
          <w:i/>
          <w:iCs/>
        </w:rPr>
        <w:t>C. albicans</w:t>
      </w:r>
      <w:r>
        <w:t xml:space="preserve"> / </w:t>
      </w:r>
      <w:r>
        <w:rPr>
          <w:i/>
          <w:iCs/>
        </w:rPr>
        <w:t xml:space="preserve">C. </w:t>
      </w:r>
      <w:proofErr w:type="spellStart"/>
      <w:r>
        <w:rPr>
          <w:i/>
          <w:iCs/>
        </w:rPr>
        <w:t>dubliniensis</w:t>
      </w:r>
      <w:proofErr w:type="spellEnd"/>
      <w:r>
        <w:t xml:space="preserve"> divergence.</w:t>
      </w:r>
    </w:p>
    <w:p w14:paraId="2790A0C3" w14:textId="14C8B861" w:rsidR="0048334F" w:rsidRDefault="006C3A6A" w:rsidP="0048334F">
      <w:r>
        <w:rPr>
          <w:b/>
          <w:bCs/>
        </w:rPr>
        <w:t>Keywords:</w:t>
      </w:r>
      <w:r>
        <w:t xml:space="preserve"> endocannabinoid system, </w:t>
      </w:r>
      <w:r>
        <w:rPr>
          <w:i/>
          <w:iCs/>
        </w:rPr>
        <w:t>Candida albicans</w:t>
      </w:r>
      <w:r>
        <w:t xml:space="preserve">, </w:t>
      </w:r>
      <w:r w:rsidR="00DD6777">
        <w:t xml:space="preserve">symbiont, </w:t>
      </w:r>
      <w:r>
        <w:t xml:space="preserve">fungal-hominid </w:t>
      </w:r>
      <w:r w:rsidR="00DD6777">
        <w:t>coevolution</w:t>
      </w:r>
      <w:r>
        <w:t xml:space="preserve">, East African Rift Valley, </w:t>
      </w:r>
      <w:proofErr w:type="spellStart"/>
      <w:r>
        <w:t>Plio</w:t>
      </w:r>
      <w:proofErr w:type="spellEnd"/>
      <w:r>
        <w:t xml:space="preserve">-Pleistocene paleoclimate, saline oscillation, pituitary perfusion, </w:t>
      </w:r>
      <w:r w:rsidRPr="004F0C55">
        <w:t xml:space="preserve">language evolution, Homo candidus, SIADH, epigenetic methylation, GPCR, farnesol, </w:t>
      </w:r>
      <w:proofErr w:type="spellStart"/>
      <w:r w:rsidR="004F0C55" w:rsidRPr="004F0C55">
        <w:t>candidalysin</w:t>
      </w:r>
      <w:proofErr w:type="spellEnd"/>
      <w:r w:rsidR="004F0C55" w:rsidRPr="004F0C55">
        <w:t xml:space="preserve">, Ece1, Kex2, peptide transporters, prohormone convertase, LILR, peptide mimicry, neuropeptides </w:t>
      </w:r>
      <w:r w:rsidRPr="004F0C55">
        <w:t>cross-kingdom signaling, bet hedging, GLP-1, cholinergic signaling</w:t>
      </w:r>
      <w:r w:rsidR="0048334F" w:rsidRPr="004F0C55">
        <w:t xml:space="preserve">, oxylipin, prostaglandin E₂, arachidonic acid, Th1/Th2 polarization, molecular mimicry, eicosanoid, pH manipulation, potassium homeostasis, Na⁺/K⁺-ATPase reversal, </w:t>
      </w:r>
      <w:proofErr w:type="spellStart"/>
      <w:r w:rsidR="0048334F" w:rsidRPr="004F0C55">
        <w:t>candidalysin</w:t>
      </w:r>
      <w:proofErr w:type="spellEnd"/>
      <w:r w:rsidR="0048334F" w:rsidRPr="004F0C55">
        <w:t xml:space="preserve"> pore formation, bioelectric signaling, Tok1, ammonia excretion, extracellular vesicles, small RNA, cross-kingdom RNA interference, DHX29, codon optimality, vesicle cargo, bidirectional signaling</w:t>
      </w:r>
      <w:r w:rsidR="00E050CC">
        <w:t>,</w:t>
      </w:r>
      <w:r w:rsidR="00E050CC" w:rsidRPr="00E050CC">
        <w:t xml:space="preserve"> </w:t>
      </w:r>
      <w:r w:rsidR="00E050CC" w:rsidRPr="00E050CC">
        <w:t>salt sensitivity, hypertension, colonization density, autonomic governance, pituitary governance, rimonabant, luteinizing hormone, estrogen-binding protein</w:t>
      </w:r>
    </w:p>
    <w:p w14:paraId="6F35F075" w14:textId="77777777" w:rsidR="00303C34" w:rsidRDefault="00000000">
      <w:r>
        <w:pict w14:anchorId="6C7D2685">
          <v:rect id="_x0000_i1026" style="width:0;height:1.5pt" o:hralign="center" o:hrstd="t" o:hr="t"/>
        </w:pict>
      </w:r>
    </w:p>
    <w:p w14:paraId="0356A11C" w14:textId="77777777" w:rsidR="00303C34" w:rsidRDefault="006C3A6A">
      <w:pPr>
        <w:pStyle w:val="Heading2"/>
      </w:pPr>
      <w:bookmarkStart w:id="2" w:name="Xaff28e8f791aedf7455dbb9ed775e7c2dc7a998"/>
      <w:r>
        <w:t>Methodological Note on Sources and Extraordinary Circumstances</w:t>
      </w:r>
    </w:p>
    <w:p w14:paraId="2D6F522A" w14:textId="55761F54" w:rsidR="00303C34" w:rsidRDefault="006C3A6A" w:rsidP="004D0185">
      <w:r>
        <w:t xml:space="preserve">This paper cites several works by the author (Craddock, 2013; 2022; 2026a; </w:t>
      </w:r>
      <w:r w:rsidR="00AD76A1">
        <w:t xml:space="preserve">2026b; </w:t>
      </w:r>
      <w:r w:rsidR="009B06E6">
        <w:t>2026c)</w:t>
      </w:r>
      <w:r>
        <w:t>. In standard academic practice, self-citation of this density would warrant scrutiny. The circumstances here are not standard.</w:t>
      </w:r>
    </w:p>
    <w:p w14:paraId="22AFE86E" w14:textId="70BE409B" w:rsidR="00303C34" w:rsidRDefault="006C3A6A" w:rsidP="004D0185">
      <w:r>
        <w:t xml:space="preserve">The theoretical framework described in this paper derives in part from a 1995 peer-reviewed article that was subsequently redacted by removal from institutional access and citation indices under circumstances the author has documented extensively (Craddock, </w:t>
      </w:r>
      <w:r w:rsidR="009B06E6">
        <w:t>2026c)</w:t>
      </w:r>
      <w:r>
        <w:t xml:space="preserve">. The original article described a longitudinal cohort study of </w:t>
      </w:r>
      <w:proofErr w:type="gramStart"/>
      <w:r>
        <w:t>a physiological</w:t>
      </w:r>
      <w:proofErr w:type="gramEnd"/>
      <w:r>
        <w:t xml:space="preserve"> condition involving </w:t>
      </w:r>
      <w:r>
        <w:lastRenderedPageBreak/>
        <w:t>fungal-host interaction, endocannabinoid system modulation, and progressive organ system changes. The author encountered this article in 1995, retained key observations from it, and over the subsequent thirty years developed the condition described therein, becoming, in effect, both researcher and subject.</w:t>
      </w:r>
    </w:p>
    <w:p w14:paraId="51748F43" w14:textId="77777777" w:rsidR="00303C34" w:rsidRDefault="006C3A6A" w:rsidP="004D0185">
      <w:r>
        <w:t xml:space="preserve">Because the original source was redacted, no conventional citation chain exists. The author’s self-published works represent the only extant documentation of both the original findings and the thirty-year longitudinal case study that followed. These works are distributed across censorship-resistant platforms (IPFS, </w:t>
      </w:r>
      <w:proofErr w:type="spellStart"/>
      <w:r>
        <w:t>Nostr</w:t>
      </w:r>
      <w:proofErr w:type="spellEnd"/>
      <w:r>
        <w:t>, GitHub) and indexed by major search engines. The author’s identity as the primary source for “Redacted Science” is independently verifiable via Google and other search indices.</w:t>
      </w:r>
    </w:p>
    <w:p w14:paraId="14122EBE" w14:textId="1897FE13" w:rsidR="00C93564" w:rsidRDefault="00C93564" w:rsidP="004D0185">
      <w:r w:rsidRPr="00C93564">
        <w:t>Additionally, the author's primary works are unconventional in format, reflecting both intentional stylistic choices and the tools available during their construction. The data co-located with the most current version includes daily logs, over a decade of laboratory results, and multiple independent attempts to document the process spanning thirteen years. These attempts are internally consistent in substance while authored independently of previous versions — a characteristic most readily verified by observing that the core narrative maintains coherence across documents while the precision of the oldest dates decreases in newer works, consistent with independent reconstruction from memory rather than copying from prior drafts</w:t>
      </w:r>
      <w:r>
        <w:t>.</w:t>
      </w:r>
    </w:p>
    <w:p w14:paraId="7FA8EC3B" w14:textId="21B0BB67" w:rsidR="00303C34" w:rsidRDefault="006C3A6A" w:rsidP="004D0185">
      <w:r>
        <w:t xml:space="preserve">The self-citations in this paper are not circular. They reference: (1) observational data from a 30-year longitudinal case study that cannot be obtained from any other source, (2) a theoretical framework (the </w:t>
      </w:r>
      <w:r>
        <w:rPr>
          <w:i/>
          <w:iCs/>
        </w:rPr>
        <w:t>Mammalia candidus</w:t>
      </w:r>
      <w:r>
        <w:t xml:space="preserve"> hypothesis) that extends established peer-reviewed literature into novel territory, and (3) historical documentation of a redacted research program. The peer-reviewed citations in this paper (Maslin et al., Shultz and Maslin, Elphick, </w:t>
      </w:r>
      <w:proofErr w:type="spellStart"/>
      <w:r>
        <w:t>Pacioni</w:t>
      </w:r>
      <w:proofErr w:type="spellEnd"/>
      <w:r>
        <w:t xml:space="preserve"> et al., Markey et al., Ren et al., and others) provide the independent evidentiary scaffolding. The self-citations provide the connective architecture that no other author is positioned to supply. Readers are encouraged to verify all claims independently.</w:t>
      </w:r>
    </w:p>
    <w:p w14:paraId="0E7B8D0C" w14:textId="77777777" w:rsidR="00303C34" w:rsidRDefault="006C3A6A">
      <w:pPr>
        <w:pStyle w:val="Heading2"/>
      </w:pPr>
      <w:bookmarkStart w:id="3" w:name="note-on-novelty"/>
      <w:bookmarkEnd w:id="2"/>
      <w:r>
        <w:t>Note on Novelty</w:t>
      </w:r>
    </w:p>
    <w:p w14:paraId="34DEB158" w14:textId="77777777" w:rsidR="00303C34" w:rsidRDefault="006C3A6A" w:rsidP="004D0185">
      <w:r>
        <w:t xml:space="preserve">The pulsed climate variability hypothesis (Maslin et al., 2014; Maslin and Trauth, 2009; Maslin, Shultz, and Trauth, 2015) established that East African </w:t>
      </w:r>
      <w:proofErr w:type="gramStart"/>
      <w:r>
        <w:t>Rift Valley lake</w:t>
      </w:r>
      <w:proofErr w:type="gramEnd"/>
      <w:r>
        <w:t xml:space="preserve"> oscillations are statistically correlated with hominid speciation, encephalization, and dispersal events. However, the authors explicitly noted that “the actual evolution mechanisms, which led to early hominins are still unclear and continue to be debated” (Maslin et al., 2014). Existing hypotheses linking salt to human evolution focus on dietary sodium intake through aquatic foods as a source of brain-building nutrients such as DHA (Cunnane, 2005), or on the evolutionary conservation of sodium appetite as a physiological drive (Leshem, 2009). Separately, a substantial literature documents fungal-host symbiosis as a mechanism for salt tolerance in plants (Rodriguez and Redman, 2008), but no equivalent framework has been proposed for mammals.</w:t>
      </w:r>
    </w:p>
    <w:p w14:paraId="5E464858" w14:textId="4954176B" w:rsidR="00303C34" w:rsidRDefault="006C3A6A" w:rsidP="004D0185">
      <w:r>
        <w:t xml:space="preserve">The Saline Oscillation Hypothesis presented here is, to the author’s knowledge, the first to propose that cyclical drinking water salinity in the East African Rift Valley served as the environmental substrate for an ECS-mediated fungal-mammalian </w:t>
      </w:r>
      <w:r w:rsidR="00DD6777">
        <w:t>coevolution</w:t>
      </w:r>
      <w:r>
        <w:t xml:space="preserve">ary program, and that this program, preceded by a </w:t>
      </w:r>
      <w:proofErr w:type="spellStart"/>
      <w:r>
        <w:t>phytocannabinoid</w:t>
      </w:r>
      <w:proofErr w:type="spellEnd"/>
      <w:r>
        <w:t>-mediated social flywheel and accelerated by the emergence of language, constituted the specific mechanism driving the evolutionary events Maslin and colleagues identified but left mechanistically unexplained.</w:t>
      </w:r>
    </w:p>
    <w:p w14:paraId="49524DD5" w14:textId="77777777" w:rsidR="00303C34" w:rsidRDefault="006C3A6A" w:rsidP="004D0185">
      <w:r>
        <w:t>In addition to the saline oscillation mechanism itself, this paper presents several novel contributions:</w:t>
      </w:r>
    </w:p>
    <w:p w14:paraId="7580B380" w14:textId="77777777" w:rsidR="00303C34" w:rsidRDefault="006C3A6A" w:rsidP="004D0185">
      <w:r>
        <w:lastRenderedPageBreak/>
        <w:t xml:space="preserve">First, the synthesis of existing peer-reviewed evidence on </w:t>
      </w:r>
      <w:r>
        <w:rPr>
          <w:i/>
          <w:iCs/>
        </w:rPr>
        <w:t>C. albicans</w:t>
      </w:r>
      <w:r>
        <w:t xml:space="preserve"> cross-kingdom signaling, host receptor interactions, and immune modulation into a unified framework that positions </w:t>
      </w:r>
      <w:r>
        <w:rPr>
          <w:i/>
          <w:iCs/>
        </w:rPr>
        <w:t>Candida</w:t>
      </w:r>
      <w:r>
        <w:t xml:space="preserve"> not as an opportunistic pathogen but as the apex coordinator of the mammalian internal ecology. The individual findings cited in Section 5 are published and available. Their assembly into a coherent functional description of positional authority within the host microbiome has not been previously attempted.</w:t>
      </w:r>
    </w:p>
    <w:p w14:paraId="65732E82" w14:textId="373F2B94" w:rsidR="00303C34" w:rsidRDefault="006C3A6A" w:rsidP="004D0185">
      <w:r>
        <w:t>Second, the effector hypothesis for farnesol function: a reinterpretation of farnesol’s role from morphological self-regulation (the prevailing model since 2001) to a multi-target effector molecule whose morphological effects are a byproduct of broader environmental management. The twenty-</w:t>
      </w:r>
      <w:r w:rsidR="00053A81">
        <w:t>five</w:t>
      </w:r>
      <w:r>
        <w:t xml:space="preserve">-year absence of an identified farnesol receptor in </w:t>
      </w:r>
      <w:r>
        <w:rPr>
          <w:i/>
          <w:iCs/>
        </w:rPr>
        <w:t>C. albicans</w:t>
      </w:r>
      <w:r>
        <w:t>, treated in the existing literature as an unresolved problem, is reinterpreted here as consistent with the effector model rather than paradoxical within it.</w:t>
      </w:r>
    </w:p>
    <w:p w14:paraId="0ECC188E" w14:textId="11CAEDD2" w:rsidR="00303C34" w:rsidRDefault="006C3A6A" w:rsidP="004D0185">
      <w:r>
        <w:t xml:space="preserve">Third, the phenobarbital-colony distribution hypothesis: a proposed explanation for the variable anatomical geography of phenobarbital-associated mucosal ulceration across patients, based on differential density of the resident commensal </w:t>
      </w:r>
      <w:r>
        <w:rPr>
          <w:i/>
          <w:iCs/>
        </w:rPr>
        <w:t>Candida</w:t>
      </w:r>
      <w:r>
        <w:t xml:space="preserve"> population rather than direct drug toxicity. This hypothesis is supported by two documented iatrogenic activation events in the longitudinal case study (Craddock, 2013; </w:t>
      </w:r>
      <w:r w:rsidR="009B06E6">
        <w:t>2026c)</w:t>
      </w:r>
      <w:r>
        <w:t xml:space="preserve"> and by published case reports.</w:t>
      </w:r>
    </w:p>
    <w:p w14:paraId="46D6C592" w14:textId="631987DC" w:rsidR="00303C34" w:rsidRDefault="006C3A6A" w:rsidP="00830994">
      <w:r>
        <w:t xml:space="preserve">Fourth, the reinterpretation of single-cell bet hedging behavior in </w:t>
      </w:r>
      <w:r>
        <w:rPr>
          <w:i/>
          <w:iCs/>
        </w:rPr>
        <w:t>C. albicans</w:t>
      </w:r>
      <w:r>
        <w:t xml:space="preserve"> (first characterized at the transcriptomic level in fungi by </w:t>
      </w:r>
      <w:proofErr w:type="spellStart"/>
      <w:r>
        <w:t>Dumeaux</w:t>
      </w:r>
      <w:proofErr w:type="spellEnd"/>
      <w:r>
        <w:t xml:space="preserve"> et al., 2023) within the context of a </w:t>
      </w:r>
      <w:r w:rsidR="00DD6777">
        <w:t>coevolution</w:t>
      </w:r>
      <w:r>
        <w:t xml:space="preserve">ary symbiont framework rather than a pathogen resistance framework. The original characterization described cytoprotective programs enabling drug tolerance. The present paper interprets the same data as evidence of an architectural survival system consistent with 200 million years of </w:t>
      </w:r>
      <w:r w:rsidR="00DD6777">
        <w:t>coevolution</w:t>
      </w:r>
      <w:r>
        <w:t>ary refinement.</w:t>
      </w:r>
    </w:p>
    <w:p w14:paraId="38663E8B" w14:textId="77777777" w:rsidR="00303C34" w:rsidRDefault="00000000" w:rsidP="00830994">
      <w:r>
        <w:pict w14:anchorId="183BAD50">
          <v:rect id="_x0000_i1027" style="width:0;height:1.5pt" o:hralign="center" o:hrstd="t" o:hr="t"/>
        </w:pict>
      </w:r>
    </w:p>
    <w:p w14:paraId="457A1F6E" w14:textId="77777777" w:rsidR="00303C34" w:rsidRPr="00830994" w:rsidRDefault="006C3A6A" w:rsidP="00830994">
      <w:pPr>
        <w:pStyle w:val="Heading1"/>
      </w:pPr>
      <w:bookmarkStart w:id="4" w:name="introduction"/>
      <w:bookmarkEnd w:id="1"/>
      <w:bookmarkEnd w:id="3"/>
      <w:r w:rsidRPr="00830994">
        <w:t>1. Introduction</w:t>
      </w:r>
    </w:p>
    <w:p w14:paraId="79149CFE" w14:textId="77777777" w:rsidR="00303C34" w:rsidRDefault="006C3A6A" w:rsidP="004D0185">
      <w:r>
        <w:t xml:space="preserve">The endocannabinoid system (ECS) is among the most ancient and conserved signaling systems in mammalian biology, with enzymatic components traceable to the unicellular common </w:t>
      </w:r>
      <w:proofErr w:type="gramStart"/>
      <w:r>
        <w:t>ancestor</w:t>
      </w:r>
      <w:proofErr w:type="gramEnd"/>
      <w:r>
        <w:t xml:space="preserve"> of animals and plants approximately one billion years ago (Elphick, 2012; McPartland et al., 2006). CB1 and CB2 receptors are present in all vertebrates and in chordate invertebrates such as the sea squirt </w:t>
      </w:r>
      <w:r>
        <w:rPr>
          <w:i/>
          <w:iCs/>
        </w:rPr>
        <w:t>Ciona intestinalis</w:t>
      </w:r>
      <w:r>
        <w:t xml:space="preserve"> (Elphick et al., 2003), while endocannabinoid ligands including anandamide and 2-arachidonoylglycerol (2-AG) have been detected in organisms as primitive as </w:t>
      </w:r>
      <w:r>
        <w:rPr>
          <w:i/>
          <w:iCs/>
        </w:rPr>
        <w:t>Hydra vulgaris</w:t>
      </w:r>
      <w:r>
        <w:t xml:space="preserve"> (De </w:t>
      </w:r>
      <w:proofErr w:type="spellStart"/>
      <w:r>
        <w:t>Petrocellis</w:t>
      </w:r>
      <w:proofErr w:type="spellEnd"/>
      <w:r>
        <w:t xml:space="preserve"> et al., 1999). The system maintains homeostasis across virtually every mammalian organ system, governing pain perception, mood, appetite, immune function, metabolism, and reproduction (Acharya et al., 2017; Pandey et al., 2009).</w:t>
      </w:r>
    </w:p>
    <w:p w14:paraId="3357320B" w14:textId="61660DA1" w:rsidR="006274A9" w:rsidRPr="006274A9" w:rsidRDefault="006274A9" w:rsidP="004D0185">
      <w:r w:rsidRPr="006274A9">
        <w:t xml:space="preserve">The clinical significance of this regulatory breadth was demonstrated by negative proof in 2006, when the European Medicines Agency approved rimonabant (Acomplia, Sanofi-Aventis), a selective CB1 inverse agonist, for the treatment of obesity. By blocking a single receptor in a system that mainstream medicine regarded as pharmacologically peripheral, the drug produced severe psychiatric adverse events including depression, anxiety, and completed suicides. The European Medicines Agency suspended </w:t>
      </w:r>
      <w:proofErr w:type="gramStart"/>
      <w:r w:rsidRPr="006274A9">
        <w:t>the marketing</w:t>
      </w:r>
      <w:proofErr w:type="gramEnd"/>
      <w:r w:rsidRPr="006274A9">
        <w:t xml:space="preserve"> authorization in 2008 (</w:t>
      </w:r>
      <w:r w:rsidR="00154ECB" w:rsidRPr="00154ECB">
        <w:t>Christensen et al. 2007</w:t>
      </w:r>
      <w:r w:rsidRPr="006274A9">
        <w:t xml:space="preserve">). The United States Food and Drug Administration never approved the </w:t>
      </w:r>
      <w:proofErr w:type="gramStart"/>
      <w:r w:rsidRPr="006274A9">
        <w:t>drug,</w:t>
      </w:r>
      <w:proofErr w:type="gramEnd"/>
      <w:r w:rsidRPr="006274A9">
        <w:t xml:space="preserve"> its advisory committee having flagged the psychiatric risk before market authorization (</w:t>
      </w:r>
      <w:r w:rsidR="00154ECB" w:rsidRPr="00154ECB">
        <w:t>Sam et al. 2011</w:t>
      </w:r>
      <w:r w:rsidRPr="006274A9">
        <w:t xml:space="preserve">). The lesson was unambiguous: a system whose partial blockade causes people to lose the will to live is not </w:t>
      </w:r>
      <w:r>
        <w:t xml:space="preserve">peripheral, instead it is more accurately framed </w:t>
      </w:r>
      <w:proofErr w:type="gramStart"/>
      <w:r>
        <w:t xml:space="preserve">as </w:t>
      </w:r>
      <w:r w:rsidRPr="006274A9">
        <w:t xml:space="preserve"> foundational</w:t>
      </w:r>
      <w:proofErr w:type="gramEnd"/>
      <w:r>
        <w:t xml:space="preserve"> architecture</w:t>
      </w:r>
      <w:r w:rsidRPr="006274A9">
        <w:t xml:space="preserve">. The ECS </w:t>
      </w:r>
      <w:r w:rsidRPr="006274A9">
        <w:lastRenderedPageBreak/>
        <w:t>does not merely participate in mood regulation. It is, evidently, required for the maintenance of the psychological state that sustains the decision to continue living.</w:t>
      </w:r>
    </w:p>
    <w:p w14:paraId="26D7BAE7" w14:textId="77777777" w:rsidR="00303C34" w:rsidRDefault="006C3A6A" w:rsidP="004D0185">
      <w:r>
        <w:rPr>
          <w:i/>
          <w:iCs/>
        </w:rPr>
        <w:t>Candida albicans</w:t>
      </w:r>
      <w:r>
        <w:t xml:space="preserve">, the most prevalent fungal commensal of the human mycobiome, is an obligate symbiont with no known environmental reservoir (Ost and Round, 2023; Kumamoto, 2011). Recent work has demonstrated that </w:t>
      </w:r>
      <w:r>
        <w:rPr>
          <w:i/>
          <w:iCs/>
        </w:rPr>
        <w:t>C. albicans</w:t>
      </w:r>
      <w:r>
        <w:t xml:space="preserve"> colonization of the mammalian gut directly modulates the </w:t>
      </w:r>
      <w:proofErr w:type="spellStart"/>
      <w:r>
        <w:t>endocannabinoidome</w:t>
      </w:r>
      <w:proofErr w:type="spellEnd"/>
      <w:r>
        <w:t xml:space="preserve">, producing specific changes in anandamide and 2-AG levels that alter hypothalamic-pituitary-adrenal (HPA) axis function and behavior (Markey et al., 2020). Separately, the black truffle </w:t>
      </w:r>
      <w:r>
        <w:rPr>
          <w:i/>
          <w:iCs/>
        </w:rPr>
        <w:t xml:space="preserve">Tuber </w:t>
      </w:r>
      <w:proofErr w:type="spellStart"/>
      <w:r>
        <w:rPr>
          <w:i/>
          <w:iCs/>
        </w:rPr>
        <w:t>melanosporum</w:t>
      </w:r>
      <w:proofErr w:type="spellEnd"/>
      <w:r>
        <w:t xml:space="preserve"> has been shown to produce anandamide and express the major ECS metabolic enzymes NAPE-PLD, FAAH, DAGL, and MAGL, suggesting that fungal endocannabinoid production is phylogenetically ancient and may predate the evolution of cannabinoid binding receptors themselves (</w:t>
      </w:r>
      <w:proofErr w:type="spellStart"/>
      <w:r>
        <w:t>Pacioni</w:t>
      </w:r>
      <w:proofErr w:type="spellEnd"/>
      <w:r>
        <w:t xml:space="preserve"> et al., 2015).</w:t>
      </w:r>
    </w:p>
    <w:p w14:paraId="3D2A08DC" w14:textId="3E19E09C" w:rsidR="00303C34" w:rsidRDefault="006C3A6A" w:rsidP="004D0185">
      <w:r>
        <w:t xml:space="preserve">The </w:t>
      </w:r>
      <w:r>
        <w:rPr>
          <w:i/>
          <w:iCs/>
        </w:rPr>
        <w:t>Mammalia candidus</w:t>
      </w:r>
      <w:r>
        <w:t xml:space="preserve"> hypothesis (Craddock, </w:t>
      </w:r>
      <w:r w:rsidR="009B06E6">
        <w:t>2026b)</w:t>
      </w:r>
      <w:r>
        <w:t xml:space="preserve"> proposed that the conserved mammalian ECS represents an interface layer selected for and refined through </w:t>
      </w:r>
      <w:r w:rsidR="00DD6777">
        <w:t>coevolution</w:t>
      </w:r>
      <w:r>
        <w:t xml:space="preserve"> between fungal symbionts and mammalian hosts across approximately 200 million years. The present paper extends this framework by identifying a specific environmental driver, the cyclical salinity oscillations of East African Rift Valley lakes during the </w:t>
      </w:r>
      <w:proofErr w:type="spellStart"/>
      <w:r>
        <w:t>Plio</w:t>
      </w:r>
      <w:proofErr w:type="spellEnd"/>
      <w:r>
        <w:t>-</w:t>
      </w:r>
      <w:proofErr w:type="gramStart"/>
      <w:r>
        <w:t>Pleistocene, and</w:t>
      </w:r>
      <w:proofErr w:type="gramEnd"/>
      <w:r>
        <w:t xml:space="preserve"> proposing a three-part </w:t>
      </w:r>
      <w:r w:rsidR="00DD6777">
        <w:t>coevolution</w:t>
      </w:r>
      <w:r>
        <w:t xml:space="preserve">ary model (the “evolutionary trinity”) involving the fungal symbiont, host physiology, and social structure, with the social component initiated by communal </w:t>
      </w:r>
      <w:proofErr w:type="spellStart"/>
      <w:r>
        <w:t>phytocannabinoid</w:t>
      </w:r>
      <w:proofErr w:type="spellEnd"/>
      <w:r>
        <w:t xml:space="preserve"> use and accelerated by the emergence of language. We designate the symbiont-active hominid phenotype </w:t>
      </w:r>
      <w:r>
        <w:rPr>
          <w:i/>
          <w:iCs/>
        </w:rPr>
        <w:t>Homo candidus</w:t>
      </w:r>
      <w:r>
        <w:t xml:space="preserve">, not a separate species, but a functionally distinct physiological and cognitive state produced by full activation of the </w:t>
      </w:r>
      <w:r w:rsidR="00DD6777">
        <w:t>coevolution</w:t>
      </w:r>
      <w:r>
        <w:t>ary program.</w:t>
      </w:r>
    </w:p>
    <w:p w14:paraId="10A2AAB4" w14:textId="77777777" w:rsidR="00303C34" w:rsidRDefault="006C3A6A" w:rsidP="004D0185">
      <w:r>
        <w:t xml:space="preserve">While the ECS remains the primary documented interface between symbiont and host, evidence presented in Section 5 demonstrates that the signaling capacity of </w:t>
      </w:r>
      <w:r>
        <w:rPr>
          <w:i/>
          <w:iCs/>
        </w:rPr>
        <w:t>C. albicans</w:t>
      </w:r>
      <w:r>
        <w:t xml:space="preserve"> extends substantially beyond the cannabinoid receptors, encompassing nuclear transcription factors, ion channels, neurotransmitter receptors, cholinergic signaling, and immune cell differentiation pathways. The ECS is the trunk of this signaling architecture. The broader receptor landscape is </w:t>
      </w:r>
      <w:proofErr w:type="gramStart"/>
      <w:r>
        <w:t>the canopy</w:t>
      </w:r>
      <w:proofErr w:type="gramEnd"/>
      <w:r>
        <w:t>.</w:t>
      </w:r>
    </w:p>
    <w:p w14:paraId="4B7B7981" w14:textId="77777777" w:rsidR="00303C34" w:rsidRDefault="00000000">
      <w:r>
        <w:pict w14:anchorId="4474863E">
          <v:rect id="_x0000_i1028" style="width:0;height:1.5pt" o:hralign="center" o:hrstd="t" o:hr="t"/>
        </w:pict>
      </w:r>
    </w:p>
    <w:p w14:paraId="5AF139F4" w14:textId="77777777" w:rsidR="00303C34" w:rsidRDefault="006C3A6A">
      <w:pPr>
        <w:pStyle w:val="Heading1"/>
      </w:pPr>
      <w:bookmarkStart w:id="5" w:name="geological-and-paleoclimatic-context"/>
      <w:bookmarkEnd w:id="4"/>
      <w:r>
        <w:t>2. Geological and Paleoclimatic Context</w:t>
      </w:r>
    </w:p>
    <w:p w14:paraId="73493BA6" w14:textId="77777777" w:rsidR="00303C34" w:rsidRDefault="006C3A6A">
      <w:pPr>
        <w:pStyle w:val="Heading2"/>
      </w:pPr>
      <w:bookmarkStart w:id="6" w:name="Xf15611db2aae4eabe8e27794ace04be3f49b4ea"/>
      <w:r>
        <w:t>2.1 The East African Rift Valley as Cradle of Hominid Evolution</w:t>
      </w:r>
    </w:p>
    <w:p w14:paraId="5B8252BA" w14:textId="77777777" w:rsidR="00303C34" w:rsidRDefault="006C3A6A" w:rsidP="004D0185">
      <w:r>
        <w:t xml:space="preserve">The East African Rift System (EARS) is an active continental rift zone extending over thousands of kilometers from the Red Sea to Mozambique (Chorowicz, 2005). The region between Lake Turkana and Lake Natron is designated the “Cradle of Mankind” based on the density and significance of hominid fossil discoveries, including </w:t>
      </w:r>
      <w:r>
        <w:rPr>
          <w:i/>
          <w:iCs/>
        </w:rPr>
        <w:t>Australopithecus afarensis</w:t>
      </w:r>
      <w:r>
        <w:t xml:space="preserve"> (“Lucy,” ~3.2 Ma; Johanson and White, 1979), </w:t>
      </w:r>
      <w:r>
        <w:rPr>
          <w:i/>
          <w:iCs/>
        </w:rPr>
        <w:t>Homo erectus</w:t>
      </w:r>
      <w:r>
        <w:t xml:space="preserve"> (KNM-WT 15000 “Turkana Boy,” ~1.6 Ma; Brown et al., 1985; Walker and Leakey, 1993), the </w:t>
      </w:r>
      <w:proofErr w:type="spellStart"/>
      <w:r>
        <w:t>Lomekwi</w:t>
      </w:r>
      <w:proofErr w:type="spellEnd"/>
      <w:r>
        <w:t xml:space="preserve"> stone tools (~3.3 Ma; </w:t>
      </w:r>
      <w:proofErr w:type="spellStart"/>
      <w:r>
        <w:t>Harmand</w:t>
      </w:r>
      <w:proofErr w:type="spellEnd"/>
      <w:r>
        <w:t xml:space="preserve"> et al., 2015), and </w:t>
      </w:r>
      <w:r>
        <w:rPr>
          <w:i/>
          <w:iCs/>
        </w:rPr>
        <w:t>Paranthropus boisei</w:t>
      </w:r>
      <w:r>
        <w:t xml:space="preserve"> (“Nutcracker Man,” ~1.75 Ma; Leakey, 1959).</w:t>
      </w:r>
    </w:p>
    <w:p w14:paraId="31AC9A7D" w14:textId="77777777" w:rsidR="00303C34" w:rsidRDefault="006C3A6A" w:rsidP="004D0185">
      <w:r>
        <w:t xml:space="preserve">At Dalol, approximately 100 km north of the Afar Triple Junction, the rift floor contains a 5,000-meter-thick layer of evaporite salt deposits accumulated over the past four million years (Ebinger et al., 2000). The Eastern Rift lakes including Turkana, Magadi, Natron, Nakuru, and </w:t>
      </w:r>
      <w:proofErr w:type="spellStart"/>
      <w:r>
        <w:t>Elmenteita</w:t>
      </w:r>
      <w:proofErr w:type="spellEnd"/>
      <w:r>
        <w:t xml:space="preserve">, are hydrologically closed basins with no outlet to the sea, resulting in high mineral content as evaporation concentrates dissolved salts (Britannica, “East African lakes”). Lake </w:t>
      </w:r>
      <w:r>
        <w:lastRenderedPageBreak/>
        <w:t>Magadi and Lake Natron are hypersaline soda lakes enriched in Na⁺, K⁺, Cl⁻, CO₃²⁻, and HCO₃⁻ (Deocampo and Renaut, 2022).</w:t>
      </w:r>
    </w:p>
    <w:p w14:paraId="1D4D6D11" w14:textId="77777777" w:rsidR="00D15554" w:rsidRDefault="00D15554" w:rsidP="00D15554">
      <w:pPr>
        <w:pStyle w:val="Heading2"/>
      </w:pPr>
      <w:bookmarkStart w:id="7" w:name="Xd319b021a833be7fffd853ea2e3650788a0fba6"/>
      <w:bookmarkEnd w:id="6"/>
      <w:r w:rsidRPr="00D15554">
        <w:t>2.2 Orbital Forcing, Amplifier Lakes, and Oscillation Architecture</w:t>
      </w:r>
    </w:p>
    <w:p w14:paraId="1E48FE5E" w14:textId="0BF6FCD0" w:rsidR="00D15554" w:rsidRPr="00D15554" w:rsidRDefault="00D15554" w:rsidP="004D0185">
      <w:r w:rsidRPr="00D15554">
        <w:t>The salinity oscillations central to this hypothesis were not random climate fluctuations. They were driven by predictable variations in Earth's orbital geometry, amplified by the unusual physical characteristics of rift basin lakes, and structured across at least three nested timescales.</w:t>
      </w:r>
    </w:p>
    <w:p w14:paraId="715314CB" w14:textId="77777777" w:rsidR="00D15554" w:rsidRPr="00D15554" w:rsidRDefault="00D15554" w:rsidP="004D0185">
      <w:r w:rsidRPr="00D15554">
        <w:t xml:space="preserve">The primary driver is axial </w:t>
      </w:r>
      <w:proofErr w:type="gramStart"/>
      <w:r w:rsidRPr="00D15554">
        <w:t>precession</w:t>
      </w:r>
      <w:proofErr w:type="gramEnd"/>
      <w:r w:rsidRPr="00D15554">
        <w:t>. Earth's rotational axis wobbles on a cycle of approximately 19,000 to 23,000 years, commonly averaged to ~21,000 years (Berger and Loutre, 1991). Precession controls the seasonal distribution of solar radiation at tropical latitudes. At precession minima, Northern Hemisphere summer insolation increases, strengthening the African monsoon system, driving rainfall over East Africa, and filling rift basin lakes. At precession maxima, the monsoon weakens, rainfall decreases, and lakes contract (</w:t>
      </w:r>
      <w:proofErr w:type="spellStart"/>
      <w:r w:rsidRPr="00D15554">
        <w:t>Kutzbach</w:t>
      </w:r>
      <w:proofErr w:type="spellEnd"/>
      <w:r w:rsidRPr="00D15554">
        <w:t xml:space="preserve"> and Street-Perrott, 1985; Trauth et al., 2005). Each precession cycle thus produces one complete wet-dry oscillation in the EARS. Over the 2.7 million years since the onset of intense climate variability, approximately 129 such cycles have occurred. Not all produced equivalent lake-level responses; the amplitude of each cycle depends on a second orbital parameter.</w:t>
      </w:r>
    </w:p>
    <w:p w14:paraId="29C57903" w14:textId="77777777" w:rsidR="008B3E98" w:rsidRDefault="00D15554" w:rsidP="004D0185">
      <w:r w:rsidRPr="00D15554">
        <w:t xml:space="preserve">Eccentricity, the degree of circularity of Earth's orbit, varies on 100,000-year and 400,000-year cycles and modulates the amplitude of precession's effects (Berger and Loutre, 1991). When eccentricity is high and the orbit more elliptical, precession-driven insolation differences are amplified and the wet-dry swings are extreme. When eccentricity is low, precession effects are </w:t>
      </w:r>
      <w:proofErr w:type="gramStart"/>
      <w:r w:rsidRPr="00D15554">
        <w:t>damped</w:t>
      </w:r>
      <w:proofErr w:type="gramEnd"/>
      <w:r w:rsidRPr="00D15554">
        <w:t xml:space="preserve"> and climate varies less. This modulation produces what Maslin, Trauth, and colleagues term "variability packets": concentrated intervals of extreme environmental oscillation separated by periods of relative calm. </w:t>
      </w:r>
    </w:p>
    <w:p w14:paraId="1B51ACE1" w14:textId="6B4DB0DC" w:rsidR="00D15554" w:rsidRPr="00D15554" w:rsidRDefault="00D15554" w:rsidP="004D0185">
      <w:r w:rsidRPr="00D15554">
        <w:t xml:space="preserve">Before 2.7 Ma, major wet phases in the EARS appeared approximately every 400,000 years. </w:t>
      </w:r>
      <w:r w:rsidR="008B3E98" w:rsidRPr="008B3E98">
        <w:t>After 2.7 Ma, East Africa did not oscillate continuously. Instead, the intense variability came in bursts: three windows, each roughly 200,000 years long, separated by calmer intervals of approximately 800,000 years. These windows occurred at 2.7–2.5 Ma, 1.9–1.7 Ma, and 1.1–0.9 Ma (Trauth et al., 2005, 2007; Maslin et al., 2014). Each coincides with a major global climate transition</w:t>
      </w:r>
      <w:r w:rsidRPr="00D15554">
        <w:t xml:space="preserve">: the onset of Northern Hemisphere glaciation (2.7–2.5 Ma), intensification of the Walker Circulation (1.9–1.7 Ma), and the Mid-Pleistocene Revolution (1.0–0.7 Ma). </w:t>
      </w:r>
      <w:r w:rsidR="008B3E98" w:rsidRPr="008B3E98">
        <w:t>During these windows, the landscape alternated between large freshwater lakes and extreme drought as rapidly as every 10,000 years, fast enough that a single population lineage would experience the full wet-dry-wet cycle dozens of times within each window (Trauth et al., 2003; Kingston et al., 2007).</w:t>
      </w:r>
    </w:p>
    <w:p w14:paraId="2761F467" w14:textId="77777777" w:rsidR="00D15554" w:rsidRPr="00D15554" w:rsidRDefault="00D15554" w:rsidP="004D0185">
      <w:r w:rsidRPr="00D15554">
        <w:t>Within individual precession-driven wet phases, a third timescale operates. Wilson et al. (2014) analyzed oxygen isotope composition and diatom assemblage data from a well-dated diatomite sequence in the Baringo-</w:t>
      </w:r>
      <w:proofErr w:type="spellStart"/>
      <w:r w:rsidRPr="00D15554">
        <w:t>Bogoria</w:t>
      </w:r>
      <w:proofErr w:type="spellEnd"/>
      <w:r w:rsidRPr="00D15554">
        <w:t xml:space="preserve"> basin and identified millennial-scale cyclicity of 1,400 to 1,700 years between 2.70 and 2.55 Ma, similar in period to late Quaternary Dansgaard-Oeschger events. These sub-oscillations, nested within the larger precession cycles, mean that even during nominally humid phases, lake depth, salinity, and drinking water chemistry fluctuated on timescales of tens of human generations.</w:t>
      </w:r>
    </w:p>
    <w:p w14:paraId="73E9E3E3" w14:textId="5CEEE193" w:rsidR="00D15554" w:rsidRDefault="00D15554" w:rsidP="004D0185">
      <w:r w:rsidRPr="00D15554">
        <w:t xml:space="preserve">The rift basins themselves amplify these climate signals. Trauth et al. (2010) introduced the concept of "amplifier lakes": tectonic graben morphologies combining high precipitation in elevated catchment areas with extreme evaporation on the valley floor. These basins do not respond proportionally to climate forcing. They respond disproportionately. A moderate shift in </w:t>
      </w:r>
      <w:r w:rsidRPr="00D15554">
        <w:lastRenderedPageBreak/>
        <w:t xml:space="preserve">the precipitation-evaporation regime produces a dramatic shift in lake level and chemistry, because the rift geometry concentrates the hydrological response (Trauth et al., 2005, 2010). The Eastern Rift lakes, including Turkana, Baringo, Magadi, Natron, and </w:t>
      </w:r>
      <w:proofErr w:type="spellStart"/>
      <w:r w:rsidRPr="00D15554">
        <w:t>Elmenteita</w:t>
      </w:r>
      <w:proofErr w:type="spellEnd"/>
      <w:r w:rsidRPr="00D15554">
        <w:t>, are hydrologically closed basins with no outlet to the sea, meaning dissolved salts accumulate as evaporation concentrates them (Britannica, "East African lakes"). These are the same basins in which the key hominid fossils were found.</w:t>
      </w:r>
      <w:r w:rsidR="005E2B9F">
        <w:br/>
      </w:r>
      <w:r w:rsidR="005E2B9F">
        <w:br/>
        <w:t>Figure 3</w:t>
      </w:r>
      <w:r w:rsidR="00D4723D">
        <w:t xml:space="preserve"> Anatomy of a Single Precession Cycle (~21,000 years)</w:t>
      </w:r>
    </w:p>
    <w:p w14:paraId="20112E3E" w14:textId="40205C7D" w:rsidR="00C82776" w:rsidRPr="00D15554" w:rsidRDefault="005E2B9F" w:rsidP="00D15554">
      <w:r>
        <w:rPr>
          <w:noProof/>
        </w:rPr>
        <w:drawing>
          <wp:inline distT="0" distB="0" distL="0" distR="0" wp14:anchorId="34890B84" wp14:editId="316B2DA1">
            <wp:extent cx="5943600" cy="4787900"/>
            <wp:effectExtent l="0" t="0" r="0" b="0"/>
            <wp:docPr id="98914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4162" name="Picture 98914162"/>
                    <pic:cNvPicPr/>
                  </pic:nvPicPr>
                  <pic:blipFill>
                    <a:blip r:embed="rId9">
                      <a:extLst>
                        <a:ext uri="{28A0092B-C50C-407E-A947-70E740481C1C}">
                          <a14:useLocalDpi xmlns:a14="http://schemas.microsoft.com/office/drawing/2010/main" val="0"/>
                        </a:ext>
                      </a:extLst>
                    </a:blip>
                    <a:stretch>
                      <a:fillRect/>
                    </a:stretch>
                  </pic:blipFill>
                  <pic:spPr>
                    <a:xfrm>
                      <a:off x="0" y="0"/>
                      <a:ext cx="5943600" cy="4787900"/>
                    </a:xfrm>
                    <a:prstGeom prst="rect">
                      <a:avLst/>
                    </a:prstGeom>
                  </pic:spPr>
                </pic:pic>
              </a:graphicData>
            </a:graphic>
          </wp:inline>
        </w:drawing>
      </w:r>
    </w:p>
    <w:p w14:paraId="1FF93866" w14:textId="36E1CF60" w:rsidR="00303C34" w:rsidRDefault="006C3A6A">
      <w:pPr>
        <w:pStyle w:val="Heading2"/>
      </w:pPr>
      <w:r>
        <w:t xml:space="preserve">2.3 </w:t>
      </w:r>
      <w:r w:rsidR="005E2B9F" w:rsidRPr="005E2B9F">
        <w:t>Transition Dynamics, Oscillation Count, and the Asymmetric Trigger</w:t>
      </w:r>
    </w:p>
    <w:p w14:paraId="08F26334" w14:textId="77777777" w:rsidR="005E2B9F" w:rsidRPr="005E2B9F" w:rsidRDefault="005E2B9F" w:rsidP="004D0185">
      <w:bookmarkStart w:id="8" w:name="X974f8faf3c0ad8c698d3eb4b4dc561c9df2fc1b"/>
      <w:bookmarkEnd w:id="7"/>
      <w:r w:rsidRPr="005E2B9F">
        <w:t xml:space="preserve">The biological significance of </w:t>
      </w:r>
      <w:proofErr w:type="gramStart"/>
      <w:r w:rsidRPr="005E2B9F">
        <w:t>the oscillation</w:t>
      </w:r>
      <w:proofErr w:type="gramEnd"/>
      <w:r w:rsidRPr="005E2B9F">
        <w:t xml:space="preserve"> architecture depends on </w:t>
      </w:r>
      <w:proofErr w:type="gramStart"/>
      <w:r w:rsidRPr="005E2B9F">
        <w:t>a critical</w:t>
      </w:r>
      <w:proofErr w:type="gramEnd"/>
      <w:r w:rsidRPr="005E2B9F">
        <w:t xml:space="preserve"> asymmetry in transition dynamics that has not been previously connected to hominid evolution.</w:t>
      </w:r>
    </w:p>
    <w:p w14:paraId="55D46B40" w14:textId="77777777" w:rsidR="005E2B9F" w:rsidRPr="005E2B9F" w:rsidRDefault="005E2B9F" w:rsidP="004D0185">
      <w:r w:rsidRPr="005E2B9F">
        <w:t xml:space="preserve">The drying transition is gradual. Modeling results and field observations indicate that East African amplifier lakes require up to 2,000 years to disappear during a wet-to-dry climate transition (Bergner et al., 2003; Garcin et al., 2009). As lakes contract over this timescale, dissolved salt concentrations rise progressively. Populations drinking from these water sources experience a slow increase in electrolyte intake spanning dozens of generations, sufficient time for physiological acclimation. Renal sodium handling, blood volume set points, and osmotic equilibria adjust gradually to the rising baseline. The sinusoidal character of precession forcing </w:t>
      </w:r>
      <w:r w:rsidRPr="005E2B9F">
        <w:lastRenderedPageBreak/>
        <w:t>produces intervals of approximately 8,000 years at both the wet and dry extremes during which relatively little change in daily insolation occurs (Maslin et al., 2005), representing stability plateaus during which acclimation is reinforced. The remaining approximately 13,000 years of each cycle is the transitional zone where conditions change more rapidly.</w:t>
      </w:r>
    </w:p>
    <w:p w14:paraId="51235A47" w14:textId="77777777" w:rsidR="005E2B9F" w:rsidRPr="005E2B9F" w:rsidRDefault="005E2B9F" w:rsidP="004D0185">
      <w:r w:rsidRPr="005E2B9F">
        <w:t>The freshening transition is not gradual. When monsoon-driven rainfall returns and rift basins fill, lake freshening occurs on timescales far shorter than the drying process. A population whose physiology has been calibrated to elevated electrolyte concentrations over generations suddenly encounters freshened water. This is the physiological equivalent of a modern human adapted to normal dietary sodium suddenly drinking distilled water. The result is dilutional hyponatremia and a physiological response analogous to the syndrome of inappropriate antidiuretic hormone secretion (SIADH): water retention, reduced urine output, blood volume expansion, and electrolyte imbalance. The disruption is proportional to the delta between the population's calibrated salinity and actual intake, not to the absolute salinity level.</w:t>
      </w:r>
    </w:p>
    <w:p w14:paraId="544B4270" w14:textId="2F9CBD2C" w:rsidR="005E2B9F" w:rsidRPr="005E2B9F" w:rsidRDefault="005E2B9F" w:rsidP="004D0185">
      <w:r w:rsidRPr="005E2B9F">
        <w:t>This asymmetry is the fulcrum of the hypothesis. The slow drying transition produces no acute physiological crisis; populations acclimate. The rapid freshening transition produces a punctuated shock at a specific, predictable point in every oscillation cycle. It is at this point, and only at this point, that the symbiont's perfusion-management and electrolyte-handling capabilities become decisive. The selective advantage is not continuous. It is periodic, recurring at the freshening edge of every oscillation, and it is acute.</w:t>
      </w:r>
      <w:r w:rsidR="00D50E64">
        <w:t xml:space="preserve"> </w:t>
      </w:r>
      <w:r w:rsidR="00FB1CA4" w:rsidRPr="00FB1CA4">
        <w:t>The biochemical computer</w:t>
      </w:r>
      <w:r w:rsidR="00881F3E">
        <w:t xml:space="preserve"> (Craddock, 2026</w:t>
      </w:r>
      <w:r w:rsidR="00AD76A1">
        <w:t>a</w:t>
      </w:r>
      <w:r w:rsidR="00881F3E">
        <w:t>)</w:t>
      </w:r>
      <w:r w:rsidR="00FB1CA4" w:rsidRPr="00FB1CA4">
        <w:t>, when exposed to rapidly changing external pressures, responds by adjusting its regulatory and chromatin state. Existing</w:t>
      </w:r>
      <w:r w:rsidR="007D2E6A" w:rsidRPr="007D2E6A">
        <w:t xml:space="preserve"> </w:t>
      </w:r>
      <w:r w:rsidR="007D2E6A" w:rsidRPr="007D2E6A">
        <w:t xml:space="preserve">epigenetic configurations that worked before </w:t>
      </w:r>
      <w:proofErr w:type="gramStart"/>
      <w:r w:rsidR="007D2E6A" w:rsidRPr="007D2E6A">
        <w:t>get</w:t>
      </w:r>
      <w:proofErr w:type="gramEnd"/>
      <w:r w:rsidR="007D2E6A" w:rsidRPr="007D2E6A">
        <w:t xml:space="preserve"> reinforced and passed forward</w:t>
      </w:r>
      <w:r w:rsidR="00FB1CA4" w:rsidRPr="00FB1CA4">
        <w:t>. Recurrent environmental inputs tend to produce consistent transcriptional outputs, while novel conditions may induce transitions into alternative regulatory states, enabling the emergence of new outputs.</w:t>
      </w:r>
    </w:p>
    <w:p w14:paraId="6640AB10" w14:textId="3753B62B" w:rsidR="005E2B9F" w:rsidRPr="005E2B9F" w:rsidRDefault="005E2B9F" w:rsidP="004D0185">
      <w:r w:rsidRPr="005E2B9F">
        <w:t xml:space="preserve">The direct sedimentary evidence for the scale of these oscillations comes from the Lake Malawi Drilling Project. Lyons et al. (2015) recovered the first continuous 1.3-million-year record of continental hydroclimate from an African lake interior, documenting 24 </w:t>
      </w:r>
      <w:r w:rsidR="00FB1CA4">
        <w:t xml:space="preserve">distinct </w:t>
      </w:r>
      <w:r w:rsidRPr="005E2B9F">
        <w:t xml:space="preserve">lake-level drops exceeding 200 meters, of which 15 were severe events with water levels reduced more than 400 meters below modern. The distribution of these events was not uniform. Before the Mid-Pleistocene Transition (~800 ka), lake levels were generally lower and changed frequently, consistent with a drier baseline climate with rapid oscillations. After the MPT, the lake was commonly deeper and often overflowing, but </w:t>
      </w:r>
      <w:r w:rsidR="00FB1CA4">
        <w:t>minimum standing lake level</w:t>
      </w:r>
      <w:r w:rsidRPr="005E2B9F">
        <w:t xml:space="preserve"> intervals became more prolonged and extreme (Lyons et al., 2015). Johnson et al. (2016) characterized the post-MPT record as dominated by strong 100,000-year eccentricity cycles of temperature and rainfall superimposed on a trend toward progressively wetter conditions.</w:t>
      </w:r>
    </w:p>
    <w:p w14:paraId="59EF5FA0" w14:textId="77777777" w:rsidR="005E2B9F" w:rsidRPr="005E2B9F" w:rsidRDefault="005E2B9F" w:rsidP="004D0185">
      <w:r w:rsidRPr="005E2B9F">
        <w:t xml:space="preserve">The Lake Malawi record, while the most continuous available, comes from the southern EARS (10–14° S), approximately 2,000 km south of the Turkana-Baringo-Natron corridor where the key hominid fossils were found. The northern rift basins show stronger </w:t>
      </w:r>
      <w:proofErr w:type="spellStart"/>
      <w:r w:rsidRPr="005E2B9F">
        <w:t>precessional</w:t>
      </w:r>
      <w:proofErr w:type="spellEnd"/>
      <w:r w:rsidRPr="005E2B9F">
        <w:t xml:space="preserve"> control on lake levels (Kingston et al., 2007; </w:t>
      </w:r>
      <w:proofErr w:type="spellStart"/>
      <w:r w:rsidRPr="005E2B9F">
        <w:t>Deino</w:t>
      </w:r>
      <w:proofErr w:type="spellEnd"/>
      <w:r w:rsidRPr="005E2B9F">
        <w:t xml:space="preserve"> et al., 2006) and dried out faster than the rest of Africa (Turkana Basin Institute, 2021), indicating that hominid populations in the cradle region likely experienced more frequent and more intense oscillations than the Malawi record documents.</w:t>
      </w:r>
    </w:p>
    <w:p w14:paraId="4F345CA8" w14:textId="77777777" w:rsidR="005E2B9F" w:rsidRDefault="005E2B9F" w:rsidP="004D0185">
      <w:r w:rsidRPr="005E2B9F">
        <w:t xml:space="preserve">A conservative accounting of the total oscillation exposure experienced by EARS hominid populations since 2.7 Ma includes: approximately 129 precession-driven cycles (orbital mechanics), concentrated into three variability windows totaling roughly 600,000 years of intense oscillatory pressure, with millennial-scale sub-oscillations numbering in the hundreds </w:t>
      </w:r>
      <w:r w:rsidRPr="005E2B9F">
        <w:lastRenderedPageBreak/>
        <w:t>nested within those precession cycles. Each cycle, at the freshening transition, presented the selective filter through which symbiont-integrated individuals passed and unintegrated individuals did not.</w:t>
      </w:r>
    </w:p>
    <w:p w14:paraId="5612FDD7" w14:textId="7E5B1E21" w:rsidR="00FB1CA4" w:rsidRDefault="00FB1CA4" w:rsidP="004D0185">
      <w:r>
        <w:t>2.</w:t>
      </w:r>
      <w:r>
        <w:t>4</w:t>
      </w:r>
      <w:r>
        <w:t xml:space="preserve"> Temporal Correlation with Hominid Evolution</w:t>
      </w:r>
    </w:p>
    <w:p w14:paraId="31A10A28" w14:textId="77777777" w:rsidR="00FB1CA4" w:rsidRDefault="00FB1CA4" w:rsidP="004D0185">
      <w:r>
        <w:t xml:space="preserve">Shultz and Maslin (2013) demonstrated that hominid speciation events, changes in brain size, and dispersal events are statistically linked to the occurrence of ephemeral deep-water lakes in the EARS. The significant hominid speciation and brain expansion event at approximately 1.8 Ma, coincident with the emergence of </w:t>
      </w:r>
      <w:r>
        <w:rPr>
          <w:i/>
          <w:iCs/>
        </w:rPr>
        <w:t>Homo erectus</w:t>
      </w:r>
      <w:r>
        <w:t xml:space="preserve"> and with the occurrence of “highly variable, extensive, deep-water lakes” (Maslin et al., 2014). The Turkana Basin, where many key fossils were found, dried out faster than the rest of Africa, forcing earlier adaptation to open, arid environments with periodically saline water sources (Turkana Basin Institute, 2021).</w:t>
      </w:r>
    </w:p>
    <w:p w14:paraId="7E006855" w14:textId="536B72B6" w:rsidR="00303C34" w:rsidRDefault="006C3A6A">
      <w:pPr>
        <w:pStyle w:val="Heading2"/>
      </w:pPr>
      <w:r>
        <w:t>2.</w:t>
      </w:r>
      <w:r w:rsidR="00FB1CA4">
        <w:t>5</w:t>
      </w:r>
      <w:r>
        <w:t xml:space="preserve"> Candida Evolutionary Divergence and the </w:t>
      </w:r>
      <w:r w:rsidR="00DD6777">
        <w:t>Coevolution</w:t>
      </w:r>
      <w:r>
        <w:t>ary Timeline</w:t>
      </w:r>
    </w:p>
    <w:p w14:paraId="70AF7B30" w14:textId="77777777" w:rsidR="00303C34" w:rsidRDefault="006C3A6A" w:rsidP="004D0185">
      <w:r>
        <w:t xml:space="preserve">The evolutionary history of the </w:t>
      </w:r>
      <w:r>
        <w:rPr>
          <w:i/>
          <w:iCs/>
        </w:rPr>
        <w:t>Candida</w:t>
      </w:r>
      <w:r>
        <w:t xml:space="preserve"> clade provides independent temporal evidence consistent with the Saline Oscillation Hypothesis. </w:t>
      </w:r>
      <w:r>
        <w:rPr>
          <w:i/>
          <w:iCs/>
        </w:rPr>
        <w:t xml:space="preserve">Candida </w:t>
      </w:r>
      <w:proofErr w:type="spellStart"/>
      <w:r>
        <w:rPr>
          <w:i/>
          <w:iCs/>
        </w:rPr>
        <w:t>parapsilosis</w:t>
      </w:r>
      <w:proofErr w:type="spellEnd"/>
      <w:r>
        <w:t xml:space="preserve"> diverged from a last common ancestor with </w:t>
      </w:r>
      <w:r>
        <w:rPr>
          <w:i/>
          <w:iCs/>
        </w:rPr>
        <w:t>C. albicans</w:t>
      </w:r>
      <w:r>
        <w:t xml:space="preserve"> approximately 70 Ma, </w:t>
      </w:r>
      <w:proofErr w:type="gramStart"/>
      <w:r>
        <w:t>coincident</w:t>
      </w:r>
      <w:proofErr w:type="gramEnd"/>
      <w:r>
        <w:t xml:space="preserve"> with the K-Pg extinction event and the explosive diversification of mammals (Butler et al., 2009; Nobile et al., 2021). This timing is consistent with the </w:t>
      </w:r>
      <w:r>
        <w:rPr>
          <w:i/>
          <w:iCs/>
        </w:rPr>
        <w:t>Mammalia candidus</w:t>
      </w:r>
      <w:r>
        <w:t xml:space="preserve"> framework: as mammalian hosts diversified, their fungal symbionts co-diversified.</w:t>
      </w:r>
    </w:p>
    <w:p w14:paraId="1715D973" w14:textId="77777777" w:rsidR="00303C34" w:rsidRDefault="006C3A6A" w:rsidP="004D0185">
      <w:r>
        <w:t xml:space="preserve">The divergence of </w:t>
      </w:r>
      <w:r>
        <w:rPr>
          <w:i/>
          <w:iCs/>
        </w:rPr>
        <w:t>C. albicans</w:t>
      </w:r>
      <w:r>
        <w:t xml:space="preserve"> from its closest relative, </w:t>
      </w:r>
      <w:r>
        <w:rPr>
          <w:i/>
          <w:iCs/>
        </w:rPr>
        <w:t xml:space="preserve">C. </w:t>
      </w:r>
      <w:proofErr w:type="spellStart"/>
      <w:r>
        <w:rPr>
          <w:i/>
          <w:iCs/>
        </w:rPr>
        <w:t>dubliniensis</w:t>
      </w:r>
      <w:proofErr w:type="spellEnd"/>
      <w:r>
        <w:t xml:space="preserve">, occurred more recently but remains imprecisely dated. The literature describes the split as occurring “relatively recently in evolutionary time” (Sullivan et al., 2005), with genome-wide nucleotide identity of 80–90% between the two species (Jackson et al., 2009). The critical observation is what happened after the split: </w:t>
      </w:r>
      <w:r>
        <w:rPr>
          <w:i/>
          <w:iCs/>
        </w:rPr>
        <w:t>C. albicans</w:t>
      </w:r>
      <w:r>
        <w:t xml:space="preserve"> expanded gene families associated with host interaction and virulence (SAP, ALS, and IFF families), while </w:t>
      </w:r>
      <w:r>
        <w:rPr>
          <w:i/>
          <w:iCs/>
        </w:rPr>
        <w:t xml:space="preserve">C. </w:t>
      </w:r>
      <w:proofErr w:type="spellStart"/>
      <w:r>
        <w:rPr>
          <w:i/>
          <w:iCs/>
        </w:rPr>
        <w:t>dubliniensis</w:t>
      </w:r>
      <w:proofErr w:type="spellEnd"/>
      <w:r>
        <w:t xml:space="preserve"> underwent reductive evolution and widespread gene loss/pseudogenization that diminished its capacity to manage host physiology (Jackson et al., 2009; Thompson et al., 2021). This is not random drift; it is directional selection. </w:t>
      </w:r>
      <w:r>
        <w:rPr>
          <w:i/>
          <w:iCs/>
        </w:rPr>
        <w:t>C. albicans</w:t>
      </w:r>
      <w:r>
        <w:t xml:space="preserve"> was being selected for deeper host integration while </w:t>
      </w:r>
      <w:r>
        <w:rPr>
          <w:i/>
          <w:iCs/>
        </w:rPr>
        <w:t xml:space="preserve">C. </w:t>
      </w:r>
      <w:proofErr w:type="spellStart"/>
      <w:r>
        <w:rPr>
          <w:i/>
          <w:iCs/>
        </w:rPr>
        <w:t>dubliniensis</w:t>
      </w:r>
      <w:proofErr w:type="spellEnd"/>
      <w:r>
        <w:t xml:space="preserve"> was not.</w:t>
      </w:r>
    </w:p>
    <w:p w14:paraId="3C43D1BE" w14:textId="77777777" w:rsidR="00303C34" w:rsidRDefault="006C3A6A" w:rsidP="004D0185">
      <w:r>
        <w:t xml:space="preserve">If the </w:t>
      </w:r>
      <w:r>
        <w:rPr>
          <w:i/>
          <w:iCs/>
        </w:rPr>
        <w:t>C. albicans</w:t>
      </w:r>
      <w:r>
        <w:t xml:space="preserve"> / </w:t>
      </w:r>
      <w:r>
        <w:rPr>
          <w:i/>
          <w:iCs/>
        </w:rPr>
        <w:t xml:space="preserve">C. </w:t>
      </w:r>
      <w:proofErr w:type="spellStart"/>
      <w:r>
        <w:rPr>
          <w:i/>
          <w:iCs/>
        </w:rPr>
        <w:t>dubliniensis</w:t>
      </w:r>
      <w:proofErr w:type="spellEnd"/>
      <w:r>
        <w:t xml:space="preserve"> divergence occurred during the </w:t>
      </w:r>
      <w:proofErr w:type="spellStart"/>
      <w:r>
        <w:t>Plio</w:t>
      </w:r>
      <w:proofErr w:type="spellEnd"/>
      <w:r>
        <w:t xml:space="preserve">-Pleistocene (~2–5 Ma), it would coincide precisely with the onset of salinity oscillations in the EARS, and the divergent evolutionary trajectories would have a clear explanation: </w:t>
      </w:r>
      <w:r>
        <w:rPr>
          <w:i/>
          <w:iCs/>
        </w:rPr>
        <w:t>C. albicans</w:t>
      </w:r>
      <w:r>
        <w:t xml:space="preserve"> was under selection pressure to manage host perfusion and electrolyte balance during saline stress, driving the expansion of host-interaction gene families. </w:t>
      </w:r>
      <w:r>
        <w:rPr>
          <w:i/>
          <w:iCs/>
        </w:rPr>
        <w:t xml:space="preserve">C. </w:t>
      </w:r>
      <w:proofErr w:type="spellStart"/>
      <w:r>
        <w:rPr>
          <w:i/>
          <w:iCs/>
        </w:rPr>
        <w:t>dubliniensis</w:t>
      </w:r>
      <w:proofErr w:type="spellEnd"/>
      <w:r>
        <w:t>, not under this pressure, shed the genes it did not need.</w:t>
      </w:r>
    </w:p>
    <w:p w14:paraId="10D22C02" w14:textId="4ED11A13" w:rsidR="00303C34" w:rsidRDefault="006C3A6A" w:rsidP="004D0185">
      <w:r>
        <w:t xml:space="preserve">Additionally, atypical </w:t>
      </w:r>
      <w:r>
        <w:rPr>
          <w:i/>
          <w:iCs/>
        </w:rPr>
        <w:t>C. albicans</w:t>
      </w:r>
      <w:r>
        <w:t xml:space="preserve"> strains isolated from vaginal specimens of Angolan women form a monophyletic group that may represent “an early stage of speciation” (McManus et al., 2008). The observation of ongoing </w:t>
      </w:r>
      <w:r>
        <w:rPr>
          <w:i/>
          <w:iCs/>
        </w:rPr>
        <w:t>Candida</w:t>
      </w:r>
      <w:r>
        <w:t xml:space="preserve"> diversification in African populations, the geographic region of the proposed </w:t>
      </w:r>
      <w:r w:rsidR="00DD6777">
        <w:t>coevolution</w:t>
      </w:r>
      <w:r>
        <w:t>ary origin, is consistent with the hypothesis that the selective pressures described here remain active.</w:t>
      </w:r>
    </w:p>
    <w:p w14:paraId="69EF153A" w14:textId="77777777" w:rsidR="00303C34" w:rsidRDefault="00000000">
      <w:r>
        <w:pict w14:anchorId="454ECA7F">
          <v:rect id="_x0000_i1335" style="width:0;height:1.5pt" o:hralign="center" o:hrstd="t" o:hr="t"/>
        </w:pict>
      </w:r>
    </w:p>
    <w:p w14:paraId="140E3D5F" w14:textId="77777777" w:rsidR="00303C34" w:rsidRDefault="006C3A6A">
      <w:pPr>
        <w:pStyle w:val="Heading1"/>
      </w:pPr>
      <w:bookmarkStart w:id="9" w:name="the-pre-linguistic-social-flywheel"/>
      <w:bookmarkEnd w:id="5"/>
      <w:bookmarkEnd w:id="8"/>
      <w:r>
        <w:lastRenderedPageBreak/>
        <w:t>3. The Pre-Linguistic Social Flywheel</w:t>
      </w:r>
    </w:p>
    <w:p w14:paraId="01551D30" w14:textId="77777777" w:rsidR="00303C34" w:rsidRDefault="006C3A6A">
      <w:pPr>
        <w:pStyle w:val="Heading2"/>
      </w:pPr>
      <w:bookmarkStart w:id="10" w:name="X18929532247e80672b462e364fc596e783a100e"/>
      <w:r>
        <w:t>3.1 Cannabinoid Discovery Before Salinity Oscillations</w:t>
      </w:r>
    </w:p>
    <w:p w14:paraId="394D6C57" w14:textId="77777777" w:rsidR="00303C34" w:rsidRDefault="006C3A6A" w:rsidP="004D0185">
      <w:r>
        <w:rPr>
          <w:i/>
          <w:iCs/>
        </w:rPr>
        <w:t>Cannabis sativa</w:t>
      </w:r>
      <w:r>
        <w:t xml:space="preserve"> evolved approximately 28 million years ago on the eastern Tibetan Plateau (McPartland et al., 2019). </w:t>
      </w:r>
      <w:proofErr w:type="spellStart"/>
      <w:r>
        <w:t>Phytocannabinoid</w:t>
      </w:r>
      <w:proofErr w:type="spellEnd"/>
      <w:r>
        <w:t xml:space="preserve">-producing plants were present in the environments accessible to hominid populations long before the </w:t>
      </w:r>
      <w:proofErr w:type="spellStart"/>
      <w:r>
        <w:t>Plio</w:t>
      </w:r>
      <w:proofErr w:type="spellEnd"/>
      <w:r>
        <w:t>-Pleistocene salinity oscillations intensified. The discovery that certain plants produce psychoactive effects when consumed does not require language, agriculture, or sophisticated cognition. Instead, it requires only foraging and repetition.</w:t>
      </w:r>
    </w:p>
    <w:p w14:paraId="6A421E65" w14:textId="77777777" w:rsidR="00303C34" w:rsidRDefault="006C3A6A" w:rsidP="004D0185">
      <w:r>
        <w:t xml:space="preserve">THC (Δ9-tetrahydrocannabinol) is a direct CB1 and CB2 agonist (Pertwee, 2008) that activates the same receptor system through which the fungal symbiont communicates with the host. For a hominid already carrying </w:t>
      </w:r>
      <w:r>
        <w:rPr>
          <w:i/>
          <w:iCs/>
        </w:rPr>
        <w:t>Candida</w:t>
      </w:r>
      <w:r>
        <w:t xml:space="preserve"> as a commensal and already possessing a functional ECS, the effects of </w:t>
      </w:r>
      <w:proofErr w:type="spellStart"/>
      <w:r>
        <w:t>phytocannabinoid</w:t>
      </w:r>
      <w:proofErr w:type="spellEnd"/>
      <w:r>
        <w:t xml:space="preserve"> consumption would be immediate: anxiolysis, mild euphoria, enhanced social bonding, reduced aggression, and appetite stimulation. In a host with an established symbiont relationship, these effects would be intensified, because the ECS interface is already upregulated by the symbiont’s endogenous signaling.</w:t>
      </w:r>
    </w:p>
    <w:p w14:paraId="0594F75D" w14:textId="77777777" w:rsidR="00303C34" w:rsidRDefault="006C3A6A">
      <w:pPr>
        <w:pStyle w:val="Heading2"/>
      </w:pPr>
      <w:bookmarkStart w:id="11" w:name="the-social-bonding-effect"/>
      <w:bookmarkEnd w:id="10"/>
      <w:r>
        <w:t>3.2 The Social Bonding Effect</w:t>
      </w:r>
    </w:p>
    <w:p w14:paraId="3EE26920" w14:textId="77777777" w:rsidR="00303C34" w:rsidRDefault="006C3A6A" w:rsidP="00830994">
      <w:r>
        <w:t xml:space="preserve">The behavioral effects of CB1 agonism are well-characterized: reduced aggression, increased prosocial behavior, enhanced appetite, and attenuated stress response (Lutz et al., 2015). A hominid group in which individuals communally consume </w:t>
      </w:r>
      <w:proofErr w:type="spellStart"/>
      <w:r>
        <w:t>phytocannabinoids</w:t>
      </w:r>
      <w:proofErr w:type="spellEnd"/>
      <w:r>
        <w:t xml:space="preserve"> would exhibit stronger social cohesion, less intra-group violence, and more cooperative behavior. These are precisely the traits required for the social leg of the evolutionary trinity.</w:t>
      </w:r>
    </w:p>
    <w:p w14:paraId="0EE7CF43" w14:textId="77777777" w:rsidR="00303C34" w:rsidRDefault="006C3A6A" w:rsidP="00830994">
      <w:r>
        <w:t xml:space="preserve">This requires only that a group of hominids found something that made them feel good and pursued it together. The archaeological evidence for pre-linguistic communal behavior, cooperative foraging, group </w:t>
      </w:r>
      <w:proofErr w:type="gramStart"/>
      <w:r>
        <w:t>tool-making</w:t>
      </w:r>
      <w:proofErr w:type="gramEnd"/>
      <w:r>
        <w:t xml:space="preserve"> (</w:t>
      </w:r>
      <w:proofErr w:type="spellStart"/>
      <w:r>
        <w:t>Lomekwi</w:t>
      </w:r>
      <w:proofErr w:type="spellEnd"/>
      <w:r>
        <w:t xml:space="preserve">, 3.3 Ma; </w:t>
      </w:r>
      <w:proofErr w:type="spellStart"/>
      <w:r>
        <w:t>Harmand</w:t>
      </w:r>
      <w:proofErr w:type="spellEnd"/>
      <w:r>
        <w:t xml:space="preserve"> et al., 2015), and social group structures in </w:t>
      </w:r>
      <w:r>
        <w:rPr>
          <w:i/>
          <w:iCs/>
        </w:rPr>
        <w:t>A. afarensis</w:t>
      </w:r>
      <w:r>
        <w:t>, confirms that hominids were capable of this level of social organization before language emerged.</w:t>
      </w:r>
    </w:p>
    <w:p w14:paraId="6E07009F" w14:textId="77777777" w:rsidR="00303C34" w:rsidRDefault="006C3A6A" w:rsidP="00830994">
      <w:r>
        <w:t xml:space="preserve">We propose that the social flywheel </w:t>
      </w:r>
      <w:proofErr w:type="gramStart"/>
      <w:r>
        <w:t>began</w:t>
      </w:r>
      <w:proofErr w:type="gramEnd"/>
      <w:r>
        <w:t xml:space="preserve"> here: communal </w:t>
      </w:r>
      <w:proofErr w:type="spellStart"/>
      <w:r>
        <w:t>phytocannabinoid</w:t>
      </w:r>
      <w:proofErr w:type="spellEnd"/>
      <w:r>
        <w:t xml:space="preserve"> use → reduced aggression → stronger social bonds → more cooperative group behavior → better collective survival. Critically, this flywheel had an epigenetic dimension. THC exposure produces heritable DNA methylation changes in both sperm and somatic tissues, affecting genes involved in neurodevelopment, immune regulation, and synaptic plasticity (Szutorisz and Hurd, 2016; Schrott et al., 2020; Murphy et al., 2018). These methylation changes are transgenerational. Offspring of THC-exposed parents inherit altered epigenetic marks at genes including DLGAP2 (a neurodevelopmental gene implicated in autism spectrum phenotypes) without direct exposure themselves (Schrott et al., 2020). Endocannabinoid signaling cascades mediated via CB1 and CB2 receptors regulate cellular functions through multiple epigenetic modifications including DNA methylation, histone methylation (H3K4me3, H3K9me2), and non-coding RNA networks (Szutorisz and Hurd, 2016). In the context of the pre-linguistic flywheel, communal </w:t>
      </w:r>
      <w:proofErr w:type="spellStart"/>
      <w:r>
        <w:t>phytocannabinoid</w:t>
      </w:r>
      <w:proofErr w:type="spellEnd"/>
      <w:r>
        <w:t xml:space="preserve"> use would not merely produce transient behavioral changes; it would inscribe those changes epigenetically, biasing offspring toward enhanced ECS sensitivity, increased prosocial behavior, and deeper symbiont integration. Each generation of communal cannabinoid use ratcheted the epigenetic baseline, reinforcing the social structure that produced it.</w:t>
      </w:r>
    </w:p>
    <w:p w14:paraId="1DAFD850" w14:textId="77777777" w:rsidR="00303C34" w:rsidRDefault="006C3A6A" w:rsidP="00830994">
      <w:r>
        <w:lastRenderedPageBreak/>
        <w:t>This established the social leg of the trinity before the salinity oscillations deepened the symbiont relationship and before language accelerated the entire system. Two of the three legs, 1) the fungal symbiont (present as a commensal), and 2) the social structure (initiated and epigenetically reinforced by the cannabinoid flywheel), were in place before the environmental driver activated the full program.</w:t>
      </w:r>
    </w:p>
    <w:p w14:paraId="7E0A34F9" w14:textId="77777777" w:rsidR="00303C34" w:rsidRDefault="006C3A6A" w:rsidP="00830994">
      <w:bookmarkStart w:id="12" w:name="continuity-through-the-salinity-period"/>
      <w:bookmarkEnd w:id="11"/>
      <w:r>
        <w:t>3.3 Continuity Through the Salinity Period</w:t>
      </w:r>
    </w:p>
    <w:p w14:paraId="689F3256" w14:textId="77777777" w:rsidR="00303C34" w:rsidRDefault="006C3A6A" w:rsidP="004D0185">
      <w:r>
        <w:t>Once the salinity oscillations began deepening the symbiont’s integration (~2.7 Ma onward), the social flywheel did not stop; it accelerated. The same plant that had promoted peaceful communality now also served a pharmacological function: supporting individuals undergoing the physiological stress of SIADH-type events, easing the transitional stages between phases of the symbiont’s program, and enhancing the cognitive clarity windows that would eventually become transmissible with the emergence of language. The flywheel spans the entire timeline, from pre-linguistic social bonding through the full activation of the trinity and into the Neolithic cultivation period.</w:t>
      </w:r>
    </w:p>
    <w:p w14:paraId="3E5AED13" w14:textId="77777777" w:rsidR="00303C34" w:rsidRDefault="00000000">
      <w:r>
        <w:pict w14:anchorId="7ABB3908">
          <v:rect id="_x0000_i1336" style="width:0;height:1.5pt" o:hralign="center" o:hrstd="t" o:hr="t"/>
        </w:pict>
      </w:r>
    </w:p>
    <w:p w14:paraId="4145D7F4" w14:textId="77777777" w:rsidR="00303C34" w:rsidRDefault="006C3A6A">
      <w:pPr>
        <w:pStyle w:val="Heading1"/>
      </w:pPr>
      <w:bookmarkStart w:id="13" w:name="the-saline-oscillation-mechanism"/>
      <w:bookmarkEnd w:id="9"/>
      <w:bookmarkEnd w:id="12"/>
      <w:r>
        <w:t>4. The Saline Oscillation Mechanism</w:t>
      </w:r>
    </w:p>
    <w:p w14:paraId="2F7A949E" w14:textId="77777777" w:rsidR="00303C34" w:rsidRDefault="006C3A6A">
      <w:pPr>
        <w:pStyle w:val="Heading2"/>
      </w:pPr>
      <w:bookmarkStart w:id="14" w:name="the-mechanistic-sequence"/>
      <w:r>
        <w:t>4.1 The Mechanistic Sequence</w:t>
      </w:r>
    </w:p>
    <w:p w14:paraId="0CA4373C" w14:textId="6C550271" w:rsidR="00303C34" w:rsidRDefault="006C3A6A" w:rsidP="004D0185">
      <w:r>
        <w:t xml:space="preserve">We propose that the cyclical salinity oscillations in East African Rift Valley drinking water sources activated and progressively deepened the ECS-mediated </w:t>
      </w:r>
      <w:r w:rsidR="00DD6777">
        <w:t>coevolution</w:t>
      </w:r>
      <w:r>
        <w:t>ary relationship through the following mechanistic sequence:</w:t>
      </w:r>
    </w:p>
    <w:p w14:paraId="12E7B75D" w14:textId="77777777" w:rsidR="00303C34" w:rsidRDefault="006C3A6A" w:rsidP="004D0185">
      <w:r>
        <w:rPr>
          <w:b/>
          <w:bCs/>
        </w:rPr>
        <w:t>Step 1: Saline acclimation.</w:t>
      </w:r>
      <w:r>
        <w:t xml:space="preserve"> During arid periods, hominid populations drinking from concentrating lakes acclimated physiologically to elevated electrolyte intake, predominantly sodium. Renal sodium handling, blood volume, and osmotic set points adjusted over generations to the higher baseline.</w:t>
      </w:r>
    </w:p>
    <w:p w14:paraId="5E7237F6" w14:textId="77777777" w:rsidR="00303C34" w:rsidRDefault="006C3A6A" w:rsidP="004D0185">
      <w:r>
        <w:rPr>
          <w:b/>
          <w:bCs/>
        </w:rPr>
        <w:t>Step 2: Freshwater disruption and SIADH-type events.</w:t>
      </w:r>
      <w:r>
        <w:t xml:space="preserve"> When humid periods returned and lakes freshened, populations acclimated to saline water experienced rapid electrolyte dilution. This is the physiological equivalent of a modern human drinking distilled water. For a system calibrated to higher electrolyte concentrations, freshwater intake produces dilutional hyponatremia and triggers SIADH-type antidiuretic hormone responses: water retention, reduced urine output, and electrolyte imbalance. The disruption is proportional to the delta between the system’s calibrated salinity and actual intake, not to the absolute salinity level.</w:t>
      </w:r>
    </w:p>
    <w:p w14:paraId="5ED9B5A7" w14:textId="77777777" w:rsidR="00303C34" w:rsidRDefault="006C3A6A" w:rsidP="004D0185">
      <w:r>
        <w:rPr>
          <w:b/>
          <w:bCs/>
        </w:rPr>
        <w:t>Step 3: Symbiont advantage.</w:t>
      </w:r>
      <w:r>
        <w:t xml:space="preserve"> Under conditions of electrolyte stress, a fungal symbiont capable of modulating host perfusion, blood volume, and electrolyte conservation through the ECS gained decisive selective advantage. The host carrying a more integrated </w:t>
      </w:r>
      <w:r>
        <w:rPr>
          <w:i/>
          <w:iCs/>
        </w:rPr>
        <w:t>Candida</w:t>
      </w:r>
      <w:r>
        <w:t xml:space="preserve"> population, one that could signal through endocannabinoid pathways to manage vasoconstriction, sodium retention, and fluid distribution, survived the freshwater transitions better than hosts without this integration.</w:t>
      </w:r>
    </w:p>
    <w:p w14:paraId="611AA6FA" w14:textId="36414D6F" w:rsidR="00303C34" w:rsidRDefault="006C3A6A" w:rsidP="004D0185">
      <w:r>
        <w:t>At the molecular level, the symbiont’s advantage may be mediated through epigenetic modification. Salinity stress in vertebrates produces distinct epigenetic responses: in the half smooth tongue sole (</w:t>
      </w:r>
      <w:proofErr w:type="spellStart"/>
      <w:r>
        <w:rPr>
          <w:i/>
          <w:iCs/>
        </w:rPr>
        <w:t>Cynoglossus</w:t>
      </w:r>
      <w:proofErr w:type="spellEnd"/>
      <w:r>
        <w:rPr>
          <w:i/>
          <w:iCs/>
        </w:rPr>
        <w:t xml:space="preserve"> </w:t>
      </w:r>
      <w:proofErr w:type="spellStart"/>
      <w:r>
        <w:rPr>
          <w:i/>
          <w:iCs/>
        </w:rPr>
        <w:t>semilaevis</w:t>
      </w:r>
      <w:proofErr w:type="spellEnd"/>
      <w:r>
        <w:t xml:space="preserve">), low salinity exposure alters DNA methylation patterns and gene expression of growth-related genes in the liver (Li et al., 2017), and histone modification (H3K4me3) directly regulates dozens of differentially expressed genes under salinity change (Zhang et al., 2022). DNA methylation changes under salinity stress have been </w:t>
      </w:r>
      <w:r>
        <w:lastRenderedPageBreak/>
        <w:t xml:space="preserve">shown to regulate osmoregulatory and immune-related genes across both immediate and transgenerational timescales in fish (Metzger and Schulte, 2018). In the context of the Saline Oscillation Hypothesis, </w:t>
      </w:r>
      <w:r>
        <w:rPr>
          <w:i/>
          <w:iCs/>
        </w:rPr>
        <w:t>Candida</w:t>
      </w:r>
      <w:r>
        <w:t xml:space="preserve">-mediated ECS signaling during salinity stress episodes could drive methylation changes in host genes governing electrolyte handling, vascular tone, and immune modulation. These changes would persist epigenetically across generations, ratcheting the </w:t>
      </w:r>
      <w:r w:rsidR="00DD6777">
        <w:t>coevolution</w:t>
      </w:r>
      <w:r>
        <w:t>ary relationship deeper with each oscillation cycle without requiring genetic mutation.</w:t>
      </w:r>
    </w:p>
    <w:p w14:paraId="5684A075" w14:textId="77777777" w:rsidR="00303C34" w:rsidRDefault="006C3A6A" w:rsidP="004D0185">
      <w:r>
        <w:rPr>
          <w:b/>
          <w:bCs/>
        </w:rPr>
        <w:t>Step 4: Behavioral agency.</w:t>
      </w:r>
      <w:r>
        <w:t xml:space="preserve"> The symbiont, communicating through ECS signaling, drove host behavioral adaptations: fluid withholding to conserve electrolytes, salt-seeking behavior, dietary shifts toward sodium-rich foods, and, critically, sustained long-distance running. The “runner’s high” is mediated by endocannabinoid signaling (anandamide and 2-AG), not endorphins as previously assumed (Fuss et al., 2015). In a host with deeper symbiont integration, the ECS response to running would be intensified. Running thus served a dual function: survival strategy (persistence hunting, foraging range expansion, predator avoidance) and pharmacological maintenance of the ECS tone the symbiont requires. The symbiont benefits from the host running because it elevates the same signaling molecules the symbiont uses endogenously.</w:t>
      </w:r>
    </w:p>
    <w:p w14:paraId="390C87F7" w14:textId="1341EC9F" w:rsidR="00303C34" w:rsidRDefault="006C3A6A" w:rsidP="004D0185">
      <w:r>
        <w:rPr>
          <w:b/>
          <w:bCs/>
        </w:rPr>
        <w:t>Step 5: Brain expansion as byproduct.</w:t>
      </w:r>
      <w:r>
        <w:t xml:space="preserve"> The progressively deeper ECS integration required for perfusion management produced enhanced neuroplasticity, cognitive function, and pain modulation as byproducts. The brain did not expand because of dietary improvement alone; it expanded because the ECS interface, the oldest signaling system in mammalian biology, was being refined by the symbiont’s activity across thousands of oscillation cycles. Each cycle ratcheted the </w:t>
      </w:r>
      <w:r w:rsidR="00DD6777">
        <w:t>coevolution</w:t>
      </w:r>
      <w:r>
        <w:t>ary relationship deeper, analogous to the punctuated equilibrium model (Eldredge and Gould, 1972).</w:t>
      </w:r>
    </w:p>
    <w:p w14:paraId="30C8D1F1" w14:textId="77777777" w:rsidR="00303C34" w:rsidRDefault="006C3A6A" w:rsidP="004D0185">
      <w:r>
        <w:rPr>
          <w:b/>
          <w:bCs/>
        </w:rPr>
        <w:t>Step 6: Language acceleration.</w:t>
      </w:r>
      <w:r>
        <w:t xml:space="preserve"> The combination of enhanced ECS tone, exogenous cannabinoid support (continuing from the pre-linguistic social flywheel), and the cognitive clarity windows during late-stage transition produced the conditions under which proto-language became full language. The elder who could articulate insights became the most valuable group member, and the group that protected its elders received that transmission. Language did not create the trinity. Two legs were already in place, but language completed and massively accelerated the process.</w:t>
      </w:r>
    </w:p>
    <w:p w14:paraId="232AE1C5" w14:textId="77777777" w:rsidR="00303C34" w:rsidRDefault="006C3A6A" w:rsidP="004D0185">
      <w:r>
        <w:t>This sequence places the social flywheel’s initiation before 3.3 Ma (pre-</w:t>
      </w:r>
      <w:proofErr w:type="spellStart"/>
      <w:r>
        <w:t>Lomekwi</w:t>
      </w:r>
      <w:proofErr w:type="spellEnd"/>
      <w:r>
        <w:t xml:space="preserve">), the deepening of the symbiont relationship at approximately 2.7–1.9 Ma (the documented salinity oscillation window), and the full trinity (symbiont, host physiology, language-enabled social structure with cannabinoid support) all operational by approximately 1.55 Ma, consistent with the fossil evidence of </w:t>
      </w:r>
      <w:r>
        <w:rPr>
          <w:i/>
          <w:iCs/>
        </w:rPr>
        <w:t>H. erectus</w:t>
      </w:r>
      <w:r>
        <w:t xml:space="preserve"> displaying Broca’s area asymmetry, cooperative hunting, long-distance running capability, and the first dispersal out of Africa.</w:t>
      </w:r>
    </w:p>
    <w:p w14:paraId="3F240687" w14:textId="77777777" w:rsidR="00303C34" w:rsidRDefault="006C3A6A">
      <w:pPr>
        <w:pStyle w:val="Heading2"/>
      </w:pPr>
      <w:bookmarkStart w:id="15" w:name="X9b0175739b5343029652b5224cdaad43b103efa"/>
      <w:bookmarkEnd w:id="14"/>
      <w:r>
        <w:t>4.2 Evidence for Sodium-Dependent Physiological Architecture</w:t>
      </w:r>
    </w:p>
    <w:p w14:paraId="641B3937" w14:textId="40091A21" w:rsidR="00303C34" w:rsidRDefault="006C3A6A" w:rsidP="004D0185">
      <w:r>
        <w:t>The longitudinal case study documented in Craddock (</w:t>
      </w:r>
      <w:r w:rsidR="00AD76A1">
        <w:t xml:space="preserve">2013, </w:t>
      </w:r>
      <w:r>
        <w:t xml:space="preserve">2022, </w:t>
      </w:r>
      <w:r w:rsidR="009B06E6">
        <w:t>2026c)</w:t>
      </w:r>
      <w:r>
        <w:t xml:space="preserve"> provides observational evidence that the symbiont’s program is critically dependent on electrolyte and caloric homeostasis:</w:t>
      </w:r>
    </w:p>
    <w:p w14:paraId="036EDA76" w14:textId="77777777" w:rsidR="00303C34" w:rsidRDefault="006C3A6A" w:rsidP="004D0185">
      <w:r>
        <w:t>Sodium cravings intensify during active phases of the condition, consistent with the body demanding substrate for perfusion maintenance</w:t>
      </w:r>
    </w:p>
    <w:p w14:paraId="4EBF8E6C" w14:textId="77777777" w:rsidR="00303C34" w:rsidRDefault="006C3A6A" w:rsidP="004D0185">
      <w:r>
        <w:lastRenderedPageBreak/>
        <w:t>Sugar cravings dominated earlier phases of the condition (pre-2014), consistent with the symbiont driving caloric intake during active growth and maintenance stages; these shifted to predominantly salt cravings as the program progressed to perfusion-dependent stages</w:t>
      </w:r>
    </w:p>
    <w:p w14:paraId="25C7AFDC" w14:textId="77777777" w:rsidR="00303C34" w:rsidRDefault="006C3A6A" w:rsidP="004D0185">
      <w:r>
        <w:t>Peripheral vasoconstriction (cold extremities) occurs when sodium and volume are insufficient, centralizing blood flow to maintain core organ perfusion</w:t>
      </w:r>
    </w:p>
    <w:p w14:paraId="78B2509A" w14:textId="77777777" w:rsidR="00303C34" w:rsidRDefault="006C3A6A" w:rsidP="004D0185">
      <w:r>
        <w:t>The original subjects in the historical cohort (described in the redacted source article) withheld urination during final phases specifically to conserve electrolytes. This is the same strategy as dietary sodium loading, targeting the same problem: maintaining the osmotic gradient that keeps fluid intravascular</w:t>
      </w:r>
    </w:p>
    <w:p w14:paraId="6BCB214C" w14:textId="77777777" w:rsidR="00303C34" w:rsidRDefault="006C3A6A" w:rsidP="004D0185">
      <w:r>
        <w:t>Dietary salt intake directly affects symptom severity, pain levels, and peripheral perfusion quality</w:t>
      </w:r>
    </w:p>
    <w:p w14:paraId="6AC95C77" w14:textId="61EEDF01" w:rsidR="00303C34" w:rsidRDefault="006C3A6A" w:rsidP="004D0185">
      <w:r>
        <w:t xml:space="preserve">The electrolyte-dependent architecture described above also renders the system vulnerable to iatrogenic disruption through pharmacological agents that alter the metabolic behavior of the resident fungal population. Section 5.1 documents two such events in the longitudinal case study involving phenobarbital exposure, which induces CYP450 enzymes shared between the host and </w:t>
      </w:r>
      <w:r>
        <w:rPr>
          <w:i/>
          <w:iCs/>
        </w:rPr>
        <w:t>C. albicans</w:t>
      </w:r>
      <w:r>
        <w:t xml:space="preserve">, </w:t>
      </w:r>
      <w:r w:rsidR="00FD2B8F">
        <w:t xml:space="preserve">possibly </w:t>
      </w:r>
      <w:r>
        <w:t xml:space="preserve">triggering a metabolic fuel switch from </w:t>
      </w:r>
      <w:proofErr w:type="gramStart"/>
      <w:r>
        <w:t>glucose harvesting</w:t>
      </w:r>
      <w:proofErr w:type="gramEnd"/>
      <w:r>
        <w:t xml:space="preserve"> to host tissue invasion</w:t>
      </w:r>
      <w:r w:rsidR="00FD2B8F">
        <w:t xml:space="preserve"> or other perturbations to metabolic pathways</w:t>
      </w:r>
      <w:r>
        <w:t xml:space="preserve">. The sensitivity of the symbiont’s program to pharmacological perturbation is itself evidence that the program exists; a passive commensal would not produce acute, dose-dependent tissue damage in response to </w:t>
      </w:r>
      <w:proofErr w:type="gramStart"/>
      <w:r>
        <w:t>a sedative</w:t>
      </w:r>
      <w:proofErr w:type="gramEnd"/>
      <w:r>
        <w:t>.</w:t>
      </w:r>
    </w:p>
    <w:p w14:paraId="49ED24CF" w14:textId="77777777" w:rsidR="00303C34" w:rsidRDefault="006C3A6A">
      <w:pPr>
        <w:pStyle w:val="Heading2"/>
      </w:pPr>
      <w:bookmarkStart w:id="16" w:name="Xf27b2a1efe503d05013dc890aaa4b13ebba6e64"/>
      <w:bookmarkEnd w:id="15"/>
      <w:r>
        <w:t>4.3 The Vascular Mechanics of the Perfusion System</w:t>
      </w:r>
    </w:p>
    <w:p w14:paraId="29AA027A" w14:textId="78111730" w:rsidR="00303C34" w:rsidRDefault="006C3A6A" w:rsidP="004D0185">
      <w:r>
        <w:t xml:space="preserve">The </w:t>
      </w:r>
      <w:r>
        <w:rPr>
          <w:i/>
          <w:iCs/>
        </w:rPr>
        <w:t>Mammalia candidus</w:t>
      </w:r>
      <w:r>
        <w:t xml:space="preserve"> framework (Craddock, </w:t>
      </w:r>
      <w:r w:rsidR="009B06E6">
        <w:t>2026b)</w:t>
      </w:r>
      <w:r>
        <w:t xml:space="preserve"> and the longitudinal case study (Craddock, 2022, </w:t>
      </w:r>
      <w:r w:rsidR="009B06E6">
        <w:t>2026c)</w:t>
      </w:r>
      <w:r>
        <w:t xml:space="preserve"> describe a cardiac mechanism in which the right atrium generates suction during diastolic expansion, contributing to pituitary perfusion via a negative-pressure gradient. This suction mechanism operates in concert with additional vascular dynamics:</w:t>
      </w:r>
    </w:p>
    <w:p w14:paraId="7A2DBDA9" w14:textId="77777777" w:rsidR="00303C34" w:rsidRDefault="006C3A6A" w:rsidP="004D0185">
      <w:r>
        <w:t xml:space="preserve">The inferior vena cava (IVC), returning blood from the lower body to the right atrium, can become constricted, whether through external compression, reduced blood volume, symbiont-mediated vascular tone changes, or alterations in heart rhythm that modify the diastolic suction cycle. Changes in cardiac rhythm, mediated through ECS signaling on the conduction system, alter the timing and magnitude of atrial expansion, directly governing how much negative pressure is generated to draw blood through the IVC. The symbiont thus manages not only vascular tone but the suction pump itself. IVC constriction reduces venous return from the lower body, creating </w:t>
      </w:r>
      <w:proofErr w:type="gramStart"/>
      <w:r>
        <w:t>a pressure differential</w:t>
      </w:r>
      <w:proofErr w:type="gramEnd"/>
      <w:r>
        <w:t>. Because cardiac output must equalize across all outlets (the heart cannot selectively pump more to one circuit), any obstruction or backup in the lower-body venous return creates a compensatory increase in flow velocity through the unobstructed path: the cerebral vasculature. This is a straightforward application of conservation of flow in a closed hydraulic system. Reduced IVC return increases the relative perfusion of the brain, where no equivalent obstruction exists.</w:t>
      </w:r>
    </w:p>
    <w:p w14:paraId="47D1F734" w14:textId="77777777" w:rsidR="00303C34" w:rsidRDefault="006C3A6A" w:rsidP="004D0185">
      <w:r>
        <w:t xml:space="preserve">The reversed pressure differential across the kidney, documented in the longitudinal case study as the mechanism by which the host maintained renal function for over 30 years despite progressive kidney compromise, operates within this same system. Reduced IVC flow alters the pressure gradient across the renal </w:t>
      </w:r>
      <w:proofErr w:type="gramStart"/>
      <w:r>
        <w:t>vasculature</w:t>
      </w:r>
      <w:proofErr w:type="gramEnd"/>
      <w:r>
        <w:t>, and the symbiont’s ECS-mediated control of vascular tone allows selective management of which organs receive preferential perfusion at any given time.</w:t>
      </w:r>
    </w:p>
    <w:p w14:paraId="5D0554A4" w14:textId="77777777" w:rsidR="00303C34" w:rsidRDefault="006C3A6A" w:rsidP="004D0185">
      <w:r>
        <w:lastRenderedPageBreak/>
        <w:t xml:space="preserve">The complete system (cardiac suction, IVC dynamics, renal pressure reversal, selective perfusion management, and electrolyte conservation) constitutes a unified architecture. It does not require any novel cardiac anatomy; it operates on standard mammalian cardiovascular hardware. What distinguishes </w:t>
      </w:r>
      <w:r>
        <w:rPr>
          <w:i/>
          <w:iCs/>
        </w:rPr>
        <w:t>Homo candidus</w:t>
      </w:r>
      <w:r>
        <w:t xml:space="preserve"> is not different equipment but different </w:t>
      </w:r>
      <w:r>
        <w:rPr>
          <w:i/>
          <w:iCs/>
        </w:rPr>
        <w:t>management</w:t>
      </w:r>
      <w:r>
        <w:t xml:space="preserve"> of the equipment, directed by the symbiont through the ECS.</w:t>
      </w:r>
    </w:p>
    <w:p w14:paraId="308CEDBF" w14:textId="77777777" w:rsidR="00303C34" w:rsidRDefault="006C3A6A" w:rsidP="004D0185">
      <w:r>
        <w:t>The survivability implications of this altered perfusion system are substantial. Preferential cerebral perfusion produces increased mental focus and sustained cognitive performance under conditions that would impair an unmanaged host. The ability to maintain consciousness and function through events analogous to pseudo-Addisonian crisis, or other acute adrenal insufficiency episodes that would cause syncope in a standard host, represents a significant survival advantage in an environment requiring sustained vigilance against predators and competitors. Enhanced pain tolerance, mediated through both the ECS and the altered perfusion dynamics, permits continued physical activity through injuries and transitional discomfort. Increased endurance, supported by the same ECS tone that maintains perfusion, extends foraging range, persistence hunting capability, and migratory capacity. The altered immune state, with enhanced phagocytic activity under symbiont management, reduces susceptibility to bacterial infections. Collectively, these traits (mental focus, crisis tolerance, pain suppression, endurance, and immune enhancement) increase individual survivability and group competitiveness during periods between transitions.</w:t>
      </w:r>
    </w:p>
    <w:p w14:paraId="29898DE2" w14:textId="134C3F76" w:rsidR="00303C34" w:rsidRDefault="006C3A6A" w:rsidP="004D0185">
      <w:r>
        <w:t xml:space="preserve">In computational terms, the symbiont functions as a co-processor. A standard mammalian host has one regulatory system, the autonomic nervous system, managing cardiovascular, immune, and metabolic functions. </w:t>
      </w:r>
      <w:r>
        <w:rPr>
          <w:i/>
          <w:iCs/>
        </w:rPr>
        <w:t>Homo candidus</w:t>
      </w:r>
      <w:r>
        <w:t xml:space="preserve"> has two: the autonomic system and the symbiont’s ECS-mediated signaling, both operating on the same physiological hardware simultaneously. This dual-controller architecture produces measurably superior regulatory performance. The longitudinal case study (Craddock, </w:t>
      </w:r>
      <w:r w:rsidR="009B06E6">
        <w:t>2026c)</w:t>
      </w:r>
      <w:r>
        <w:t xml:space="preserve"> documents one expression of this: during standardized workplace fitness testing, the subject recorded the fastest heart rate recovery time to baseline in the tested population, a metric that directly reflects the efficiency of cardiovascular regulation during the transition from exertion to rest. The simplest explanation is that two regulatory systems managing the return to homeostasis outperform one. This co-processor model also explains the enhanced crisis tolerance: during an acute physiological stress event, the autonomic system may be overwhelmed, but the symbiont’s parallel ECS signaling continues to manage perfusion and vascular tone, preventing the loss of consciousness that would occur in a single-controller system.</w:t>
      </w:r>
    </w:p>
    <w:p w14:paraId="1D14D43F" w14:textId="1C1EBD9F" w:rsidR="00303C34" w:rsidRDefault="006C3A6A" w:rsidP="004D0185">
      <w:r>
        <w:t xml:space="preserve">The system also introduces </w:t>
      </w:r>
      <w:proofErr w:type="gramStart"/>
      <w:r>
        <w:t>vulnerabilities</w:t>
      </w:r>
      <w:proofErr w:type="gramEnd"/>
      <w:r>
        <w:t xml:space="preserve">. Puncture wounds and lacerations carry elevated risk because the altered vascular dynamics and reduced blood volume leave less margin for hemorrhage. However, progressive cellular apoptosis and tissue tightening, documented in the redacted source article and in the longitudinal case study (Craddock, </w:t>
      </w:r>
      <w:r w:rsidR="009B06E6">
        <w:t>2026c)</w:t>
      </w:r>
      <w:r>
        <w:t xml:space="preserve">, produce noticeably strengthened and toughened skin, partially offsetting this vulnerability. During certain phases prior to full apoptotic skin toughening, altered skin permeability creates sensitivity to osmotic and chemical exposure; the longitudinal case study documents adverse reactions to pool water contact during early phases when permeability remains elevated (Craddock, </w:t>
      </w:r>
      <w:r w:rsidR="009B06E6">
        <w:t>2026c)</w:t>
      </w:r>
      <w:r>
        <w:t>.</w:t>
      </w:r>
    </w:p>
    <w:p w14:paraId="431F30C1" w14:textId="71A187E8" w:rsidR="00303C34" w:rsidRDefault="006C3A6A" w:rsidP="004D0185">
      <w:r>
        <w:t xml:space="preserve">Transitional periods between phases and the final stage of the program produce a spectrum of pain that is among the most significant vulnerabilities of the </w:t>
      </w:r>
      <w:r>
        <w:rPr>
          <w:i/>
          <w:iCs/>
        </w:rPr>
        <w:t>Homo candidus</w:t>
      </w:r>
      <w:r>
        <w:t xml:space="preserve"> phenotype. The longitudinal case study documents pain presentations ranging from burning skin, to deep muscular pain, to organ-specific pain (liver, kidney, pancreas), to pain localized in the nail beds of fingers and toes (Craddock, </w:t>
      </w:r>
      <w:r w:rsidR="009B06E6">
        <w:t>2026c)</w:t>
      </w:r>
      <w:r>
        <w:t xml:space="preserve">. Pain severity fluctuates with the phase of the </w:t>
      </w:r>
      <w:r>
        <w:lastRenderedPageBreak/>
        <w:t xml:space="preserve">program and can reach levels that temporarily prevent normal function. Nausea accompanies transitions and a brief period of the final phase, further reducing functional capacity during these windows. Hunger is nearly constant throughout the program. The metabolic demands of the symbiont’s activity and the host’s altered energy production require sustained caloric and electrolyte intake; however, during transitions, appetite suppression from nausea creates a dangerous conflict between metabolic need and the inability to eat. The longitudinal case study documents the necessity of external encouragement to eat during these periods (Craddock, </w:t>
      </w:r>
      <w:r w:rsidR="009B06E6">
        <w:t>2026c)</w:t>
      </w:r>
      <w:r>
        <w:t xml:space="preserve">. In a pre-modern social group, this maps directly onto a caregiving function: members of the group actively feeding and encouraging the transitioning individual, a behavior that would emerge naturally in a group already bonded through communal </w:t>
      </w:r>
      <w:proofErr w:type="spellStart"/>
      <w:r>
        <w:t>phytocannabinoid</w:t>
      </w:r>
      <w:proofErr w:type="spellEnd"/>
      <w:r>
        <w:t xml:space="preserve"> use and reinforced by the value the elder produces during clarity windows.</w:t>
      </w:r>
    </w:p>
    <w:p w14:paraId="1E9E3AFA" w14:textId="77777777" w:rsidR="00303C34" w:rsidRDefault="006C3A6A" w:rsidP="004D0185">
      <w:r>
        <w:t>The symbiont’s program thus presents an evolutionary trade-off: enhanced capability between transitions, increased vulnerability during them. The social structure of the trinity, the group protecting and feeding the individual during vulnerable phases, exists precisely to manage this trade-off. The redaction of the original research that first documented this architecture, treatment, and medical condition represents suppression. This suppression concerns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investigated. Ultimately, whoever is responsible should have their authority brought into question. This author has seen the original science. It exists.</w:t>
      </w:r>
    </w:p>
    <w:p w14:paraId="37493AA6" w14:textId="77777777" w:rsidR="00303C34" w:rsidRDefault="006C3A6A">
      <w:pPr>
        <w:pStyle w:val="Heading2"/>
      </w:pPr>
      <w:bookmarkStart w:id="17" w:name="X179d7560043c00205d4fe628bd6ddb2ef8ff2e3"/>
      <w:bookmarkEnd w:id="16"/>
      <w:r>
        <w:t xml:space="preserve">4.4 Dietary </w:t>
      </w:r>
      <w:proofErr w:type="spellStart"/>
      <w:r>
        <w:t>Generalism</w:t>
      </w:r>
      <w:proofErr w:type="spellEnd"/>
      <w:r>
        <w:t xml:space="preserve"> as Selection Criterion</w:t>
      </w:r>
    </w:p>
    <w:p w14:paraId="0F5BC421" w14:textId="77777777" w:rsidR="00303C34" w:rsidRDefault="006C3A6A" w:rsidP="004D0185">
      <w:r>
        <w:rPr>
          <w:i/>
          <w:iCs/>
        </w:rPr>
        <w:t>Paranthropus boisei</w:t>
      </w:r>
      <w:r>
        <w:t xml:space="preserve">, recovered from Olduvai Gorge near Lake Natron (~1.75 Ma; Leakey, 1959), specialized in consuming tough, fibrous </w:t>
      </w:r>
      <w:proofErr w:type="gramStart"/>
      <w:r>
        <w:t>grasses</w:t>
      </w:r>
      <w:proofErr w:type="gramEnd"/>
      <w:r>
        <w:t xml:space="preserve"> and seeds, a closed dietary strategy. The </w:t>
      </w:r>
      <w:r>
        <w:rPr>
          <w:i/>
          <w:iCs/>
        </w:rPr>
        <w:t>Homo</w:t>
      </w:r>
      <w:r>
        <w:t xml:space="preserve"> lineage, by contrast, maintained dietary </w:t>
      </w:r>
      <w:proofErr w:type="spellStart"/>
      <w:r>
        <w:t>generalism</w:t>
      </w:r>
      <w:proofErr w:type="spellEnd"/>
      <w:r>
        <w:t>, consuming varied foods including meat, which requires cooperative hunting and broader ecological engagement (Turkana Basin Institute, 2021).</w:t>
      </w:r>
    </w:p>
    <w:p w14:paraId="4E7FE6F3" w14:textId="77777777" w:rsidR="00303C34" w:rsidRDefault="006C3A6A" w:rsidP="004D0185">
      <w:r>
        <w:t xml:space="preserve">We propose that the symbiont </w:t>
      </w:r>
      <w:proofErr w:type="gramStart"/>
      <w:r>
        <w:t>selected</w:t>
      </w:r>
      <w:proofErr w:type="gramEnd"/>
      <w:r>
        <w:t xml:space="preserve"> for the open architectural platform. A dietary specialist offers a fixed nutritional environment; a generalist offers a variable one. A variable internal metabolic environment gives the symbiont more biochemical options for its ECS-mediated program. The </w:t>
      </w:r>
      <w:r>
        <w:rPr>
          <w:i/>
          <w:iCs/>
        </w:rPr>
        <w:t>Homo</w:t>
      </w:r>
      <w:r>
        <w:t xml:space="preserve"> line’s flexibility, via metabolic, behavioral, and social pathways, made it the superior host. </w:t>
      </w:r>
      <w:r>
        <w:rPr>
          <w:i/>
          <w:iCs/>
        </w:rPr>
        <w:t>Paranthropus</w:t>
      </w:r>
      <w:r>
        <w:t xml:space="preserve"> rigidified and went extinct. </w:t>
      </w:r>
      <w:r>
        <w:rPr>
          <w:i/>
          <w:iCs/>
        </w:rPr>
        <w:t>Homo</w:t>
      </w:r>
      <w:r>
        <w:t xml:space="preserve"> stayed open and deepened the partnership.</w:t>
      </w:r>
    </w:p>
    <w:p w14:paraId="1BCBE4A0" w14:textId="77777777" w:rsidR="00303C34" w:rsidRDefault="00000000">
      <w:r>
        <w:pict w14:anchorId="7B87F25F">
          <v:rect id="_x0000_i1337" style="width:0;height:1.5pt" o:hralign="center" o:hrstd="t" o:hr="t"/>
        </w:pict>
      </w:r>
    </w:p>
    <w:p w14:paraId="780E9AA0" w14:textId="77777777" w:rsidR="00303C34" w:rsidRDefault="006C3A6A">
      <w:pPr>
        <w:pStyle w:val="Heading1"/>
      </w:pPr>
      <w:bookmarkStart w:id="18" w:name="X65dcda416067dfbf5fb47ae916438ffe795dd5f"/>
      <w:bookmarkEnd w:id="13"/>
      <w:bookmarkEnd w:id="17"/>
      <w:r>
        <w:t>5. Beyond Opportunistic Pathogen: Cross-Kingdom Chemical Authority</w:t>
      </w:r>
    </w:p>
    <w:p w14:paraId="634ED76C" w14:textId="77777777" w:rsidR="00303C34" w:rsidRDefault="006C3A6A">
      <w:pPr>
        <w:pStyle w:val="Heading2"/>
      </w:pPr>
      <w:bookmarkStart w:id="19" w:name="reframing-the-organism"/>
      <w:r>
        <w:t>5.1 Reframing the Organism</w:t>
      </w:r>
    </w:p>
    <w:p w14:paraId="62AB2845" w14:textId="21044D75" w:rsidR="00303C34" w:rsidRDefault="006C3A6A" w:rsidP="004D0185">
      <w:r>
        <w:rPr>
          <w:i/>
          <w:iCs/>
        </w:rPr>
        <w:t>Candida albicans</w:t>
      </w:r>
      <w:r>
        <w:t xml:space="preserve"> is conventionally classified as an “opportunistic pathogen,” an organism that causes harm when the host’s defenses are compromised. This framing has shaped nearly all research into </w:t>
      </w:r>
      <w:r>
        <w:rPr>
          <w:i/>
          <w:iCs/>
        </w:rPr>
        <w:t>Candida</w:t>
      </w:r>
      <w:r>
        <w:t xml:space="preserve"> biology for over a century. It is not wrong in a narrow sense: </w:t>
      </w:r>
      <w:r>
        <w:rPr>
          <w:i/>
          <w:iCs/>
        </w:rPr>
        <w:t xml:space="preserve">C. </w:t>
      </w:r>
      <w:r>
        <w:rPr>
          <w:i/>
          <w:iCs/>
        </w:rPr>
        <w:lastRenderedPageBreak/>
        <w:t>albicans</w:t>
      </w:r>
      <w:r>
        <w:t xml:space="preserve"> can and does cause disease in </w:t>
      </w:r>
      <w:proofErr w:type="gramStart"/>
      <w:r>
        <w:t>immunocompromised</w:t>
      </w:r>
      <w:proofErr w:type="gramEnd"/>
      <w:r>
        <w:t xml:space="preserve"> individuals. But the classification obscures more than it </w:t>
      </w:r>
      <w:proofErr w:type="gramStart"/>
      <w:r>
        <w:t>reveals</w:t>
      </w:r>
      <w:proofErr w:type="gramEnd"/>
      <w:r>
        <w:t>.</w:t>
      </w:r>
    </w:p>
    <w:p w14:paraId="7FBBC0BF" w14:textId="60DE5DA4" w:rsidR="00DE7F61" w:rsidRPr="00DE7F61" w:rsidRDefault="00DE7F61" w:rsidP="004D0185">
      <w:r w:rsidRPr="00DE7F61">
        <w:t>We argue that Candida albicans represents a uniquely integrative adaptive system within the current conceptual framework of host-associated microbiology, warranting reclassification of its functional role in human biology.</w:t>
      </w:r>
    </w:p>
    <w:p w14:paraId="5B34B755" w14:textId="077D8E06" w:rsidR="00303C34" w:rsidRDefault="006C3A6A" w:rsidP="004D0185">
      <w:r>
        <w:rPr>
          <w:i/>
          <w:iCs/>
        </w:rPr>
        <w:t xml:space="preserve">C. </w:t>
      </w:r>
      <w:proofErr w:type="gramStart"/>
      <w:r>
        <w:rPr>
          <w:i/>
          <w:iCs/>
        </w:rPr>
        <w:t>albicans</w:t>
      </w:r>
      <w:proofErr w:type="gramEnd"/>
      <w:r>
        <w:t xml:space="preserve"> is an </w:t>
      </w:r>
      <w:proofErr w:type="gramStart"/>
      <w:r>
        <w:t>obligate</w:t>
      </w:r>
      <w:proofErr w:type="gramEnd"/>
      <w:r>
        <w:t xml:space="preserve"> commensal with no known environmental reservoir, transmitted vertically from mother to child (Kumamoto, 2011; Ost and Round, 2023). It colonizes the gastrointestinal tract of 40–60% of healthy humans (Romo and Kumamoto, 2020)</w:t>
      </w:r>
      <w:r w:rsidR="00600D32">
        <w:t>; a threshold figure – see Section 5.7 for discussion of colonization prevalence versus detection sensitivity</w:t>
      </w:r>
      <w:r>
        <w:t xml:space="preserve">. Recent work has demonstrated that </w:t>
      </w:r>
      <w:r>
        <w:rPr>
          <w:i/>
          <w:iCs/>
        </w:rPr>
        <w:t>C. albicans</w:t>
      </w:r>
      <w:r>
        <w:t xml:space="preserve"> colonization confers measurable benefits to the host, including calibration of systemic Th17 immunity, protection against bacterial pathogens including </w:t>
      </w:r>
      <w:r>
        <w:rPr>
          <w:i/>
          <w:iCs/>
        </w:rPr>
        <w:t>Clostridioides difficile</w:t>
      </w:r>
      <w:r>
        <w:t>, and modulation of gut metabolic homeostasis (</w:t>
      </w:r>
      <w:proofErr w:type="spellStart"/>
      <w:r>
        <w:t>Peroumal</w:t>
      </w:r>
      <w:proofErr w:type="spellEnd"/>
      <w:r>
        <w:t xml:space="preserve"> et al., 2022; Shao et al., 2019). Alonso-Monge et al. (2021) describe colonization as a “double-edged sword,” a framing that itself acknowledges the organism provides benefit alongside risk. A purely pathogenic organism would not require the qualifier.</w:t>
      </w:r>
    </w:p>
    <w:p w14:paraId="399CEB8E" w14:textId="3FBCEBA9" w:rsidR="00DE7F61" w:rsidRDefault="00DE7F61" w:rsidP="004D0185">
      <w:r w:rsidRPr="00DE7F61">
        <w:t xml:space="preserve">We characterize this operational capacity as a biochemical computer (Craddock, </w:t>
      </w:r>
      <w:r w:rsidR="009B06E6">
        <w:t>2026c)</w:t>
      </w:r>
      <w:r w:rsidRPr="00DE7F61">
        <w:t>: an organism that does not respond to environmental challenges through a single adaptive pathway but maintains a continuously running portfolio of regulatory programs, distributed across its population, drawing on confirmed molecular interactions with host receptors, competing microorganisms, and its own epigenetic architecture to recalculate its next operational state in a tenure-maximizing adaptive process. The term is not metaphorical. It describes the functional output of the signaling, sensing, and adaptive capabilities documented in the sections that follow.</w:t>
      </w:r>
    </w:p>
    <w:p w14:paraId="106A10AC" w14:textId="77777777" w:rsidR="00303C34" w:rsidRDefault="006C3A6A" w:rsidP="004D0185">
      <w:bookmarkStart w:id="20" w:name="Xfc5b4fef75b34ca980459aafafee3635c1557b9"/>
      <w:r>
        <w:t>Real-World Implications: Iatrogenic Symbiont Activation</w:t>
      </w:r>
    </w:p>
    <w:p w14:paraId="500E5353" w14:textId="77777777" w:rsidR="00303C34" w:rsidRDefault="006C3A6A" w:rsidP="004D0185">
      <w:r>
        <w:t xml:space="preserve">The consequences of misunderstanding </w:t>
      </w:r>
      <w:r>
        <w:rPr>
          <w:i/>
          <w:iCs/>
        </w:rPr>
        <w:t>C. albicans</w:t>
      </w:r>
      <w:r>
        <w:t xml:space="preserve"> as a simple pathogen are not theoretical. They are clinical and documented.</w:t>
      </w:r>
    </w:p>
    <w:p w14:paraId="509F83DF" w14:textId="77777777" w:rsidR="00303C34" w:rsidRDefault="006C3A6A" w:rsidP="004D0185">
      <w:r>
        <w:t xml:space="preserve">Phenobarbital, a barbiturate sedative introduced in 1911, is a potent inducer of Cytochrome P450 (CYP450) enzymes in mammalian liver tissue. </w:t>
      </w:r>
      <w:r>
        <w:rPr>
          <w:i/>
          <w:iCs/>
        </w:rPr>
        <w:t>C. albicans</w:t>
      </w:r>
      <w:r>
        <w:t xml:space="preserve"> possesses its own functional CYP450 enzyme system, including CYP51 (lanosterol 14α-demethylase, essential for ergosterol biosynthesis), CYP52 (fatty acid and alkane metabolism), and CYP56 (cell wall integrity). These fungal CYP450 enzymes share sufficient structural and functional homology with their mammalian counterparts that phenobarbital-induced enzyme upregulation is not confined to the host. It extends to the resident fungal population.</w:t>
      </w:r>
    </w:p>
    <w:p w14:paraId="1292F15C" w14:textId="77777777" w:rsidR="00303C34" w:rsidRDefault="006C3A6A" w:rsidP="004D0185">
      <w:r>
        <w:t xml:space="preserve">The theoretical consequence is a metabolic fuel switch. Under normal commensal conditions, </w:t>
      </w:r>
      <w:r>
        <w:rPr>
          <w:i/>
          <w:iCs/>
        </w:rPr>
        <w:t>C. albicans</w:t>
      </w:r>
      <w:r>
        <w:t xml:space="preserve"> in the gastrointestinal tract harvests dietary glucose from the lumen. When CYP450 induction by phenobarbital upregulates the CYP52 family, which handles lipid and fatty acid metabolism, the organism gains enhanced capacity to process host-derived lipids and proteins. This metabolic shift is linked to morphological transition: the switch from yeast form (commensal, lumen-dwelling) to hyphal form (tissue-invasive, secreting aspartyl proteases and phospholipases to digest the protective mucin layer and penetrate epithelial tissue). The drug does not cause infection. It changes the operating instructions of an organism that is already present everywhere.</w:t>
      </w:r>
    </w:p>
    <w:p w14:paraId="4209D3A9" w14:textId="7AC95EBC" w:rsidR="00303C34" w:rsidRDefault="006C3A6A" w:rsidP="004D0185">
      <w:r>
        <w:t xml:space="preserve">The longitudinal case study (Craddock, 2013; </w:t>
      </w:r>
      <w:r w:rsidR="009B06E6">
        <w:t>2026c)</w:t>
      </w:r>
      <w:r>
        <w:t xml:space="preserve"> documents </w:t>
      </w:r>
      <w:r w:rsidR="00170A8E">
        <w:t>three</w:t>
      </w:r>
      <w:r>
        <w:t xml:space="preserve"> such activation events in a single subject:</w:t>
      </w:r>
    </w:p>
    <w:p w14:paraId="0E09C10E" w14:textId="77777777" w:rsidR="00303C34" w:rsidRDefault="006C3A6A" w:rsidP="004D0185">
      <w:r>
        <w:t xml:space="preserve">At age 14, a single recreational dose of phenobarbital was followed within 12 hours by emergency appendectomy. The surgeon </w:t>
      </w:r>
      <w:proofErr w:type="gramStart"/>
      <w:r>
        <w:t>reported</w:t>
      </w:r>
      <w:proofErr w:type="gramEnd"/>
      <w:r>
        <w:t xml:space="preserve"> the appendix was completely ulcerated. The </w:t>
      </w:r>
      <w:r>
        <w:lastRenderedPageBreak/>
        <w:t>subject was hospitalized for five days as physicians could not explain the failure to respond to antibiotics, consistent with a fungal rather than bacterial etiology.</w:t>
      </w:r>
    </w:p>
    <w:p w14:paraId="273FF494" w14:textId="52CC6437" w:rsidR="00303C34" w:rsidRDefault="006C3A6A" w:rsidP="004D0185">
      <w:r>
        <w:t xml:space="preserve">At age 26, a prescription for </w:t>
      </w:r>
      <w:proofErr w:type="spellStart"/>
      <w:r>
        <w:t>Donnatal</w:t>
      </w:r>
      <w:proofErr w:type="spellEnd"/>
      <w:r>
        <w:t xml:space="preserve"> (a combination drug containing a small amount of phenobarbital) for gastrointestinal symptoms produced, over several days, diffuse ulceration across the entire gastric mucosa. Endoscopy revealed small ulcerations covering 100% of the stomach lining. The gastroenterologist described it as “the stomach of a 70-year-old.” The subject was 26. The uniform distribution of ulceration across the full mucosal surface is consistent with simultaneous activation of a commensal population distributed throughout the stomach, not with focal infection or drug-induced erosion.</w:t>
      </w:r>
    </w:p>
    <w:p w14:paraId="1865BF44" w14:textId="7D35377C" w:rsidR="00170A8E" w:rsidRDefault="00170A8E" w:rsidP="004D0185">
      <w:r w:rsidRPr="00170A8E">
        <w:t xml:space="preserve">The acute dose-response relationship was further demonstrated when the subject, prior to a scheduled endoscopy and in significant pain, ingested several </w:t>
      </w:r>
      <w:proofErr w:type="spellStart"/>
      <w:r w:rsidRPr="00170A8E">
        <w:t>Donnatal</w:t>
      </w:r>
      <w:proofErr w:type="spellEnd"/>
      <w:r w:rsidRPr="00170A8E">
        <w:t xml:space="preserve"> tablets simultaneously</w:t>
      </w:r>
      <w:r>
        <w:t xml:space="preserve"> seeking relief</w:t>
      </w:r>
      <w:r w:rsidRPr="00170A8E">
        <w:t xml:space="preserve">. Within thirty minutes, the subject experienced severe abdominal pain and passed an acholic (white) bowel movement. The endoscopy that had already been scheduled subsequently revealed white lesions covering the entire gastric mucosa. The temporal relationship between a bolus dose of phenobarbital, acute GI distress, and passage of visibly abnormal material is consistent with rapid, dose-dependent activation of the resident fungal population. The subject did not connect the </w:t>
      </w:r>
      <w:proofErr w:type="spellStart"/>
      <w:r w:rsidRPr="00170A8E">
        <w:t>Donnatal</w:t>
      </w:r>
      <w:proofErr w:type="spellEnd"/>
      <w:r w:rsidRPr="00170A8E">
        <w:t xml:space="preserve"> to the phenobarbital exposure from adolescence until a subsequent ER visit, where a GI cocktail containing phenobarbital produced immediate symptom escalation.</w:t>
      </w:r>
    </w:p>
    <w:p w14:paraId="5B9697F9" w14:textId="77777777" w:rsidR="00303C34" w:rsidRDefault="006C3A6A" w:rsidP="004D0185">
      <w:r>
        <w:t>The subject did not connect the two events until a subsequent accidental re-exposure to phenobarbital (contained in an emergency room medication) produced immediate symptom escalation. Subsequent research at a medical library identified multiple published case reports of phenobarbital-associated mucosal ulceration at variable anatomical locations, with resolution upon drug withdrawal. This pattern is consistent with iatrogenic symbiont activation rather than direct drug toxicity.</w:t>
      </w:r>
    </w:p>
    <w:p w14:paraId="0DF810C7" w14:textId="77777777" w:rsidR="0044031B" w:rsidRDefault="0044031B" w:rsidP="004D0185">
      <w:r>
        <w:t>Published case reports document severe mucosal ulceration following phenobarbital exposure at variable anatomical locations across patients: stomach in some, small intestine in others, colon in others (reviewed in drug-induced gastrointestinal disease literature). Phenobarbital-containing combination drugs carry prescribing labels that contraindicate use in patients with severe ulcerative colitis, gastric ulcer, and obstructive disease of the gastrointestinal tract, and warn that “diarrhea may be an early symptom of incomplete intestinal obstruction” (</w:t>
      </w:r>
      <w:proofErr w:type="spellStart"/>
      <w:r>
        <w:t>DailyMed</w:t>
      </w:r>
      <w:proofErr w:type="spellEnd"/>
      <w:r>
        <w:t xml:space="preserve">, Belladonna/Phenobarbital). The labels acknowledge the gastrointestinal risk without identifying the mechanism. Notably, prescribing labels manage this risk through contraindication rather than explanation, advising against use in patients with pre-existing gastrointestinal conditions without identifying the mechanism by which the drug interacts with the gastrointestinal environment. The variable geography across patients is inconsistent with a direct drug toxicity mechanism, which would produce anatomically consistent damage. It is, however, consistent with activation of a distributed commensal population whose density varies by individual and by anatomical segment. The same chemical signal, received simultaneously by a geographically variable colony, produces damage wherever the colony is densest. The drug is </w:t>
      </w:r>
      <w:proofErr w:type="gramStart"/>
      <w:r>
        <w:t>the broadcast</w:t>
      </w:r>
      <w:proofErr w:type="gramEnd"/>
      <w:r>
        <w:t xml:space="preserve">. The </w:t>
      </w:r>
      <w:proofErr w:type="gramStart"/>
      <w:r>
        <w:t>colony</w:t>
      </w:r>
      <w:proofErr w:type="gramEnd"/>
      <w:r>
        <w:t xml:space="preserve"> location determines the </w:t>
      </w:r>
      <w:proofErr w:type="gramStart"/>
      <w:r>
        <w:t>impact</w:t>
      </w:r>
      <w:proofErr w:type="gramEnd"/>
      <w:r>
        <w:t xml:space="preserve"> site.</w:t>
      </w:r>
    </w:p>
    <w:p w14:paraId="2F675938" w14:textId="19F5AE18" w:rsidR="00303C34" w:rsidRDefault="006C3A6A" w:rsidP="004D0185">
      <w:r>
        <w:t xml:space="preserve">What follows in this section reframes </w:t>
      </w:r>
      <w:r>
        <w:rPr>
          <w:i/>
          <w:iCs/>
        </w:rPr>
        <w:t>C. albicans</w:t>
      </w:r>
      <w:r>
        <w:t xml:space="preserve"> not as a pathogen that occasionally behaves commensally, but as a </w:t>
      </w:r>
      <w:proofErr w:type="gramStart"/>
      <w:r>
        <w:t>systems</w:t>
      </w:r>
      <w:proofErr w:type="gramEnd"/>
      <w:r>
        <w:t xml:space="preserve">-level coordinator of the mammalian internal ecology, an organism whose confirmed molecular capabilities position it as the </w:t>
      </w:r>
      <w:r w:rsidR="00B96683" w:rsidRPr="00B96683">
        <w:t>emergent ecological regulatory influence via evolutionary selection</w:t>
      </w:r>
      <w:r w:rsidR="00B96683">
        <w:t>,</w:t>
      </w:r>
      <w:r w:rsidR="00B96683" w:rsidRPr="00B96683">
        <w:t xml:space="preserve"> </w:t>
      </w:r>
      <w:r>
        <w:t xml:space="preserve">signaling authority within the host microbiome. </w:t>
      </w:r>
      <w:r>
        <w:lastRenderedPageBreak/>
        <w:t>The evidence presented is drawn entirely from peer-reviewed literature. What is novel is the assembly.</w:t>
      </w:r>
    </w:p>
    <w:p w14:paraId="2AD69881" w14:textId="77777777" w:rsidR="00303C34" w:rsidRDefault="006C3A6A">
      <w:pPr>
        <w:pStyle w:val="Heading2"/>
      </w:pPr>
      <w:bookmarkStart w:id="21" w:name="the-scope-of-the-signaling-network"/>
      <w:bookmarkEnd w:id="19"/>
      <w:bookmarkEnd w:id="20"/>
      <w:r>
        <w:t>5.2 The Scope of the Signaling Network</w:t>
      </w:r>
    </w:p>
    <w:p w14:paraId="05A55A91" w14:textId="77777777" w:rsidR="00303C34" w:rsidRDefault="006C3A6A" w:rsidP="004D0185">
      <w:r>
        <w:rPr>
          <w:i/>
          <w:iCs/>
        </w:rPr>
        <w:t>Candida</w:t>
      </w:r>
      <w:r>
        <w:t xml:space="preserve"> produces and secretes a library of bioactive metabolites numbering in the low hundreds based on current metabolomic profiling. Comprehensive two-dimensional gas chromatography has identified 126 volatile metabolites from </w:t>
      </w:r>
      <w:r>
        <w:rPr>
          <w:i/>
          <w:iCs/>
        </w:rPr>
        <w:t>C. albicans</w:t>
      </w:r>
      <w:r>
        <w:t xml:space="preserve"> alone, distributed across acids, alcohols, aldehydes, hydrocarbons, esters, ketones, </w:t>
      </w:r>
      <w:proofErr w:type="spellStart"/>
      <w:r>
        <w:t>terpenic</w:t>
      </w:r>
      <w:proofErr w:type="spellEnd"/>
      <w:r>
        <w:t xml:space="preserve"> compounds, phenols, and </w:t>
      </w:r>
      <w:proofErr w:type="spellStart"/>
      <w:r>
        <w:t>sulphur</w:t>
      </w:r>
      <w:proofErr w:type="spellEnd"/>
      <w:r>
        <w:t xml:space="preserve"> compounds, representing a 70% increase over previously reported metabolites for the species (Perestrelo et al., 2020). Multi-omics studies using high-resolution mass spectrometry have identified 192 metabolites under controlled conditions (Gómez-Gaviria et al., 2023). These numbers represent what has been detected </w:t>
      </w:r>
      <w:r>
        <w:rPr>
          <w:i/>
          <w:iCs/>
        </w:rPr>
        <w:t>in vitro</w:t>
      </w:r>
      <w:r>
        <w:t xml:space="preserve">. The metabolite profile of </w:t>
      </w:r>
      <w:r>
        <w:rPr>
          <w:i/>
          <w:iCs/>
        </w:rPr>
        <w:t>C. albicans</w:t>
      </w:r>
      <w:r>
        <w:t xml:space="preserve"> living inside a mammalian host, responding to host signals, immune pressure, variable nutrient availability, oxygen gradients, pH shifts, and co-resident microbiota, remains largely uncharacterized.</w:t>
      </w:r>
    </w:p>
    <w:p w14:paraId="33902E04" w14:textId="77777777" w:rsidR="00303C34" w:rsidRDefault="006C3A6A" w:rsidP="004D0185">
      <w:r>
        <w:t>The primary signaling molecule characterized to date is farnesol (</w:t>
      </w:r>
      <w:proofErr w:type="gramStart"/>
      <w:r>
        <w:t>E,E</w:t>
      </w:r>
      <w:proofErr w:type="gramEnd"/>
      <w:r>
        <w:t xml:space="preserve">-3,7,11-trimethyl-2,6,10-dodecatrien-1-ol), a sesquiterpene alcohol first identified as a eukaryotic quorum-sensing molecule in </w:t>
      </w:r>
      <w:r>
        <w:rPr>
          <w:i/>
          <w:iCs/>
        </w:rPr>
        <w:t>C. albicans</w:t>
      </w:r>
      <w:r>
        <w:t xml:space="preserve"> by Hornby et al. (2001). Farnesol was the first quorum-sensing molecule discovered in any eukaryotic organism. Its effects, however, are not confined to intraspecific communication. Farnesol exerts confirmed, dose-dependent biological activity across three kingdoms of life: Fungi, Bacteria, and Animalia.</w:t>
      </w:r>
    </w:p>
    <w:p w14:paraId="3D4211EA" w14:textId="77777777" w:rsidR="00303C34" w:rsidRDefault="006C3A6A">
      <w:pPr>
        <w:pStyle w:val="Heading2"/>
      </w:pPr>
      <w:bookmarkStart w:id="22" w:name="fungal-to-fungal-signaling"/>
      <w:bookmarkEnd w:id="21"/>
      <w:r>
        <w:t>5.3 Fungal-to-Fungal Signaling</w:t>
      </w:r>
    </w:p>
    <w:p w14:paraId="2AB61C45" w14:textId="77777777" w:rsidR="00303C34" w:rsidRDefault="006C3A6A" w:rsidP="004D0185">
      <w:r>
        <w:t xml:space="preserve">Farnesol produced by </w:t>
      </w:r>
      <w:r>
        <w:rPr>
          <w:i/>
          <w:iCs/>
        </w:rPr>
        <w:t>C. albicans</w:t>
      </w:r>
      <w:r>
        <w:t xml:space="preserve"> inhibits growth and induces apoptosis in </w:t>
      </w:r>
      <w:r>
        <w:rPr>
          <w:i/>
          <w:iCs/>
        </w:rPr>
        <w:t xml:space="preserve">Aspergillus </w:t>
      </w:r>
      <w:proofErr w:type="spellStart"/>
      <w:r>
        <w:rPr>
          <w:i/>
          <w:iCs/>
        </w:rPr>
        <w:t>nidulans</w:t>
      </w:r>
      <w:proofErr w:type="spellEnd"/>
      <w:r>
        <w:t xml:space="preserve"> through a mechanism dependent on G-protein signaling, affecting mitochondrial function and reactive oxygen species production (</w:t>
      </w:r>
      <w:proofErr w:type="spellStart"/>
      <w:r>
        <w:t>Semighini</w:t>
      </w:r>
      <w:proofErr w:type="spellEnd"/>
      <w:r>
        <w:t xml:space="preserve"> et al., 2006). The compound inhibits cell wall integrity signaling in </w:t>
      </w:r>
      <w:r>
        <w:rPr>
          <w:i/>
          <w:iCs/>
        </w:rPr>
        <w:t>Aspergillus fumigatus</w:t>
      </w:r>
      <w:r>
        <w:t xml:space="preserve"> (</w:t>
      </w:r>
      <w:proofErr w:type="spellStart"/>
      <w:r>
        <w:t>Dichtl</w:t>
      </w:r>
      <w:proofErr w:type="spellEnd"/>
      <w:r>
        <w:t xml:space="preserve"> et al., 2010) and is cytotoxic to </w:t>
      </w:r>
      <w:r>
        <w:rPr>
          <w:i/>
          <w:iCs/>
        </w:rPr>
        <w:t>Saccharomyces cerevisiae</w:t>
      </w:r>
      <w:r>
        <w:t xml:space="preserve">, </w:t>
      </w:r>
      <w:r>
        <w:rPr>
          <w:i/>
          <w:iCs/>
        </w:rPr>
        <w:t xml:space="preserve">Penicillium </w:t>
      </w:r>
      <w:proofErr w:type="spellStart"/>
      <w:r>
        <w:rPr>
          <w:i/>
          <w:iCs/>
        </w:rPr>
        <w:t>expansum</w:t>
      </w:r>
      <w:proofErr w:type="spellEnd"/>
      <w:r>
        <w:t xml:space="preserve">, and </w:t>
      </w:r>
      <w:r>
        <w:rPr>
          <w:i/>
          <w:iCs/>
        </w:rPr>
        <w:t>Botrytis cinerea</w:t>
      </w:r>
      <w:r>
        <w:t xml:space="preserve"> (Egbe et al., 2017). These effects require no physical contact between organisms. They are mediated entirely through extracellular chemical signaling. </w:t>
      </w:r>
      <w:r>
        <w:rPr>
          <w:i/>
          <w:iCs/>
        </w:rPr>
        <w:t>Candida</w:t>
      </w:r>
      <w:r>
        <w:t xml:space="preserve"> does not consume or parasitize these competing fungi. It suppresses them chemically while occupying the same ecological niche.</w:t>
      </w:r>
    </w:p>
    <w:p w14:paraId="276749E0" w14:textId="77777777" w:rsidR="00303C34" w:rsidRDefault="006C3A6A">
      <w:pPr>
        <w:pStyle w:val="Heading2"/>
      </w:pPr>
      <w:bookmarkStart w:id="23" w:name="fungal-to-bacterial-signaling"/>
      <w:bookmarkEnd w:id="22"/>
      <w:r>
        <w:t>5.4 Fungal-to-Bacterial Signaling</w:t>
      </w:r>
    </w:p>
    <w:p w14:paraId="4089E2CD" w14:textId="77777777" w:rsidR="00303C34" w:rsidRDefault="006C3A6A" w:rsidP="004D0185">
      <w:r>
        <w:t xml:space="preserve">The cross-kingdom reach of </w:t>
      </w:r>
      <w:r>
        <w:rPr>
          <w:i/>
          <w:iCs/>
        </w:rPr>
        <w:t>Candida</w:t>
      </w:r>
      <w:r>
        <w:t xml:space="preserve">’s signaling extends to prokaryotes. Farnesol reduces the </w:t>
      </w:r>
      <w:r>
        <w:rPr>
          <w:i/>
          <w:iCs/>
        </w:rPr>
        <w:t>Pseudomonas aeruginosa</w:t>
      </w:r>
      <w:r>
        <w:t xml:space="preserve"> quinolone signal (PQS) and its downstream virulence factor pyocyanin by approximately 72%, an effect replicated when </w:t>
      </w:r>
      <w:r>
        <w:rPr>
          <w:i/>
          <w:iCs/>
        </w:rPr>
        <w:t>P. aeruginosa</w:t>
      </w:r>
      <w:r>
        <w:t xml:space="preserve"> is co-cultured with farnesol-producing </w:t>
      </w:r>
      <w:r>
        <w:rPr>
          <w:i/>
          <w:iCs/>
        </w:rPr>
        <w:t>C. albicans</w:t>
      </w:r>
      <w:r>
        <w:t xml:space="preserve"> (Cugini et al., 2007). In mixed-species biofilms of </w:t>
      </w:r>
      <w:r>
        <w:rPr>
          <w:i/>
          <w:iCs/>
        </w:rPr>
        <w:t>C. albicans</w:t>
      </w:r>
      <w:r>
        <w:t xml:space="preserve"> and </w:t>
      </w:r>
      <w:r>
        <w:rPr>
          <w:i/>
          <w:iCs/>
        </w:rPr>
        <w:t>Staphylococcus aureus</w:t>
      </w:r>
      <w:r>
        <w:t xml:space="preserve">, farnesol induces reactive oxygen species in the bacterium, upregulating drug efflux pumps that alter the bacterium’s antibiotic susceptibility profile and effectively sensitizing </w:t>
      </w:r>
      <w:r>
        <w:rPr>
          <w:i/>
          <w:iCs/>
        </w:rPr>
        <w:t>S. aureus</w:t>
      </w:r>
      <w:r>
        <w:t xml:space="preserve"> to antimicrobial compounds (Kong et al., 2017). These interactions are bidirectional: bacterial quorum-sensing molecules including </w:t>
      </w:r>
      <w:r>
        <w:rPr>
          <w:i/>
          <w:iCs/>
        </w:rPr>
        <w:t>P. aeruginosa</w:t>
      </w:r>
      <w:r>
        <w:t xml:space="preserve">-produced 3-oxo-C12-homoserine lactone suppress </w:t>
      </w:r>
      <w:r>
        <w:rPr>
          <w:i/>
          <w:iCs/>
        </w:rPr>
        <w:t>C. albicans</w:t>
      </w:r>
      <w:r>
        <w:t xml:space="preserve"> filamentation at concentrations achieved in mixed-species biofilms (Hogan et al., 2004). The chemical negotiation is continuous and mutual, but </w:t>
      </w:r>
      <w:r>
        <w:rPr>
          <w:i/>
          <w:iCs/>
        </w:rPr>
        <w:t>C. albicans</w:t>
      </w:r>
      <w:r>
        <w:t xml:space="preserve"> is the only participant that simultaneously signals to bacteria, to competing fungi, and, as described below, to the mammalian host.</w:t>
      </w:r>
    </w:p>
    <w:p w14:paraId="6800D2B4" w14:textId="77777777" w:rsidR="004F0C55" w:rsidRDefault="004F0C55" w:rsidP="004D0185">
      <w:r>
        <w:t xml:space="preserve">The cross-kingdom chemical reach described above operates primarily through small lipid-soluble molecules. A distinct but complementary modality, peptide mimicry, has been </w:t>
      </w:r>
      <w:r>
        <w:lastRenderedPageBreak/>
        <w:t xml:space="preserve">documented in other fungal systems and establishes the biological plausibility of peptide-based cross-kingdom manipulation in </w:t>
      </w:r>
      <w:r>
        <w:rPr>
          <w:i/>
          <w:iCs/>
        </w:rPr>
        <w:t>C. albicans</w:t>
      </w:r>
      <w:r>
        <w:t>.</w:t>
      </w:r>
    </w:p>
    <w:p w14:paraId="02A043D2" w14:textId="77777777" w:rsidR="004F0C55" w:rsidRDefault="004F0C55" w:rsidP="00AD76A1">
      <w:r>
        <w:t xml:space="preserve">The pathogenic yeast </w:t>
      </w:r>
      <w:r>
        <w:rPr>
          <w:i/>
          <w:iCs/>
        </w:rPr>
        <w:t>Blastomyces dermatitidis</w:t>
      </w:r>
      <w:r>
        <w:t xml:space="preserve"> produces dipeptidyl-peptidase IVA (</w:t>
      </w:r>
      <w:proofErr w:type="spellStart"/>
      <w:r>
        <w:t>DppIVA</w:t>
      </w:r>
      <w:proofErr w:type="spellEnd"/>
      <w:r>
        <w:t xml:space="preserve">), a close functional mimic of the mammalian ectopeptidase CD26. Like its mammalian counterpart, fungal </w:t>
      </w:r>
      <w:proofErr w:type="spellStart"/>
      <w:r>
        <w:t>DppIVA</w:t>
      </w:r>
      <w:proofErr w:type="spellEnd"/>
      <w:r>
        <w:t xml:space="preserve"> cleaves CC chemokines and GM-CSF, crippling monocyte recruitment, blocking phagocyte activation, and preventing reactive oxygen species production. Silencing the </w:t>
      </w:r>
      <w:proofErr w:type="spellStart"/>
      <w:r>
        <w:t>DppIVA</w:t>
      </w:r>
      <w:proofErr w:type="spellEnd"/>
      <w:r>
        <w:t xml:space="preserve"> gene restored immune function and curtailed virulence; addition of recombinant </w:t>
      </w:r>
      <w:proofErr w:type="spellStart"/>
      <w:r>
        <w:t>DppIVA</w:t>
      </w:r>
      <w:proofErr w:type="spellEnd"/>
      <w:r>
        <w:t xml:space="preserve"> to gene-silenced yeast restored immune evasion (Sterkel et al., 2016). This is the cleanest published demonstration that a fungal pathogen can produce a mammalian-mimicking peptidase as a deliberate immune manipulation tool.</w:t>
      </w:r>
    </w:p>
    <w:p w14:paraId="59568F80" w14:textId="77777777" w:rsidR="004F0C55" w:rsidRDefault="004F0C55" w:rsidP="00AD76A1">
      <w:r>
        <w:t xml:space="preserve">In plant-fungal systems, cross-kingdom peptide mimicry is well-established. </w:t>
      </w:r>
      <w:r>
        <w:rPr>
          <w:i/>
          <w:iCs/>
        </w:rPr>
        <w:t xml:space="preserve">Fusarium </w:t>
      </w:r>
      <w:proofErr w:type="spellStart"/>
      <w:r>
        <w:rPr>
          <w:i/>
          <w:iCs/>
        </w:rPr>
        <w:t>oxysporum</w:t>
      </w:r>
      <w:proofErr w:type="spellEnd"/>
      <w:r>
        <w:t xml:space="preserve"> produces RALF-like peptides that are structurally identical to host plant signaling peptides and are recognized by plant receptors as genuine signals, activating nutrient uptake and immunomodulatory pathways (</w:t>
      </w:r>
      <w:proofErr w:type="spellStart"/>
      <w:r>
        <w:t>Masachis</w:t>
      </w:r>
      <w:proofErr w:type="spellEnd"/>
      <w:r>
        <w:t xml:space="preserve"> et al., 2016). A 2025 study in </w:t>
      </w:r>
      <w:proofErr w:type="spellStart"/>
      <w:r>
        <w:rPr>
          <w:i/>
          <w:iCs/>
        </w:rPr>
        <w:t>Ustilago</w:t>
      </w:r>
      <w:proofErr w:type="spellEnd"/>
      <w:r>
        <w:rPr>
          <w:i/>
          <w:iCs/>
        </w:rPr>
        <w:t xml:space="preserve"> maydis</w:t>
      </w:r>
      <w:r>
        <w:t xml:space="preserve">, the corn smut fungus, revealed a co-evolved peptide-GPCR sensing mechanism: the fungus secretes the protein Pit2, which is cleaved by host </w:t>
      </w:r>
      <w:proofErr w:type="spellStart"/>
      <w:r>
        <w:t>apoplastic</w:t>
      </w:r>
      <w:proofErr w:type="spellEnd"/>
      <w:r>
        <w:t xml:space="preserve"> proteases, releasing a peptide ligand that activates the fungus’s own GPCR (Gpe1), signaling that host entry has occurred and promoting fungal proliferation (Krombach et al., 2025, bioRxiv). This represents a fungal organism using host enzyme activity as an environmental signal through a peptide intermediary.</w:t>
      </w:r>
    </w:p>
    <w:p w14:paraId="68CC14E4" w14:textId="400D533A" w:rsidR="004F0C55" w:rsidRDefault="004F0C55" w:rsidP="00AD76A1">
      <w:r>
        <w:t xml:space="preserve">Three independent examples across three fungal species and both plant and animal hosts establish that cross-kingdom peptide signaling is not hypothetical in fungal biology. </w:t>
      </w:r>
      <w:r>
        <w:rPr>
          <w:i/>
          <w:iCs/>
        </w:rPr>
        <w:t>C. albicans</w:t>
      </w:r>
      <w:r>
        <w:t xml:space="preserve">, with approximately 200 million years of mammalian </w:t>
      </w:r>
      <w:r w:rsidR="00DD6777">
        <w:t>coevolution</w:t>
      </w:r>
      <w:r>
        <w:t>, 1,300 or more uncharacterized genes with no orthologs in other yeast species, and a confirmed peptide-processing machinery homologous to the mammalian prohormone convertase system, would be the anomaly if it were not engaging in peptide-based host manipulation. The question is not whether it does so, but through which of its uncharacterized genes and through which host receptors.</w:t>
      </w:r>
    </w:p>
    <w:p w14:paraId="04CEB6CE" w14:textId="77777777" w:rsidR="00303C34" w:rsidRDefault="006C3A6A">
      <w:pPr>
        <w:pStyle w:val="Heading2"/>
      </w:pPr>
      <w:bookmarkStart w:id="24" w:name="X5db03e6b08d2d38a7b83b2b79674f440e344432"/>
      <w:bookmarkEnd w:id="23"/>
      <w:r>
        <w:t>5.5 Fungal-to-Host Signaling: The Expanded Control Surface</w:t>
      </w:r>
    </w:p>
    <w:p w14:paraId="54026AFD" w14:textId="35A117C4" w:rsidR="00A875A6" w:rsidRPr="00A875A6" w:rsidRDefault="00A875A6" w:rsidP="004D0185">
      <w:r w:rsidRPr="00A875A6">
        <w:t>The preceding sections of this paper describe the symbiont’s interaction with the host primarily through the endocannabinoid system (ECS), with CB1 and CB2 receptors serving as the best-characterized interface layer for host–symbiont signaling integration. This remains the most extensively documented pathway of lipid-mediated physiological coupling. However, the ECS does not represent an isolated signaling module. It is one branch of a broader lipid-derived regulatory architecture rooted in shared membrane biochemistry.</w:t>
      </w:r>
    </w:p>
    <w:p w14:paraId="2E8E113B" w14:textId="6C4D780B" w:rsidR="00A875A6" w:rsidRDefault="00A875A6" w:rsidP="004D0185">
      <w:r w:rsidRPr="00A875A6">
        <w:t xml:space="preserve">Arachidonic acid, an omega-6 polyunsaturated fatty acid embedded in membrane phospholipids, serves as a central precursor for both endocannabinoid synthesis and the prostaglandin/eicosanoid signaling pathways. The primary endocannabinoids, anandamide and 2-arachidonoylglycerol (2-AG), are generated from arachidonic-acid-containing phospholipid substrates, while prostaglandins arise from free arachidonic acid released from the same membrane reservoir through phospholipase-mediated cleavage. These pathways are not merely </w:t>
      </w:r>
      <w:proofErr w:type="gramStart"/>
      <w:r w:rsidRPr="00A875A6">
        <w:t>parallel</w:t>
      </w:r>
      <w:proofErr w:type="gramEnd"/>
      <w:r w:rsidRPr="00A875A6">
        <w:t xml:space="preserve"> outputs of a common precursor pool; they exhibit enzymatic and metabolic convergence. Cyclooxygenase-2 can directly oxygenate endocannabinoid intermediates, while endocannabinoid degradation regenerates arachidonic acid available for diversion into eicosanoid production. The ECS and prostaglandin systems therefore operate as partially coupled expressions of a shared lipid signaling economy.</w:t>
      </w:r>
    </w:p>
    <w:p w14:paraId="5C6377F7" w14:textId="6BC977DD" w:rsidR="00A875A6" w:rsidRDefault="00FD2B8F" w:rsidP="004D0185">
      <w:r w:rsidRPr="00FD2B8F">
        <w:lastRenderedPageBreak/>
        <w:t>Within this biochemical context, receptor-level signaling reflects underlying substrate-level coupling.</w:t>
      </w:r>
      <w:r w:rsidR="00A875A6" w:rsidRPr="00A875A6">
        <w:t xml:space="preserve"> CB1 and CB2 receptors are members of the larger G-protein-coupled receptor (GPCR) superfamily, comprising approximately 800 receptors encoded in the human genome and representing over 3% of all protein-coding genes (Fredriksson et al., 2003). Structural conservation across this receptor family implies that lipid-soluble ligands capable of engaging cannabinoid receptors may exhibit varying degrees of affinity across related GPCR targets. The ECS may therefore represent an early and well-characterized interface within a broader receptor landscape shaped by shared membrane-derived signaling substrates.</w:t>
      </w:r>
    </w:p>
    <w:p w14:paraId="622490E9" w14:textId="2F8FE819" w:rsidR="00A875A6" w:rsidRDefault="00A875A6" w:rsidP="004D0185">
      <w:r>
        <w:t xml:space="preserve">The ECS may be the original handshake between symbiont and host, but once an organism is producing lipid-soluble compounds that can dock with the seven-transmembrane architecture, the entire GPCR family becomes potentially accessible. </w:t>
      </w:r>
      <w:r w:rsidR="00D405D9" w:rsidRPr="00D405D9">
        <w:t xml:space="preserve">The signaling capacity did not remain confined to two receptors across 200 million years of </w:t>
      </w:r>
      <w:r w:rsidR="00DD6777">
        <w:t>coevolution</w:t>
      </w:r>
      <w:r w:rsidR="00D405D9" w:rsidRPr="00D405D9">
        <w:t xml:space="preserve">, producing the ultimate survivor — a biochemical computer (Craddock, </w:t>
      </w:r>
      <w:r w:rsidR="009B06E6">
        <w:t>2026</w:t>
      </w:r>
      <w:r w:rsidR="00AD76A1">
        <w:t>a</w:t>
      </w:r>
      <w:r w:rsidR="009B06E6">
        <w:t>)</w:t>
      </w:r>
      <w:r w:rsidR="00D405D9" w:rsidRPr="00D405D9">
        <w:t xml:space="preserve"> continuously recalculating what moves might be required next.</w:t>
      </w:r>
      <w:r w:rsidR="00D405D9">
        <w:t xml:space="preserve">  </w:t>
      </w:r>
      <w:r w:rsidR="00D405D9" w:rsidRPr="00D405D9">
        <w:t>Instead, signaling capacity grew outward from the same structural foundation.</w:t>
      </w:r>
      <w:r w:rsidR="00D405D9">
        <w:t xml:space="preserve">  </w:t>
      </w:r>
      <w:r>
        <w:t xml:space="preserve">CB1 and CB2 are the </w:t>
      </w:r>
      <w:proofErr w:type="gramStart"/>
      <w:r>
        <w:t>trunk</w:t>
      </w:r>
      <w:proofErr w:type="gramEnd"/>
      <w:r>
        <w:t xml:space="preserve">. The broader receptor landscape is </w:t>
      </w:r>
      <w:proofErr w:type="gramStart"/>
      <w:r>
        <w:t>the canopy</w:t>
      </w:r>
      <w:proofErr w:type="gramEnd"/>
      <w:r>
        <w:t>.</w:t>
      </w:r>
    </w:p>
    <w:p w14:paraId="74CDCC8E" w14:textId="77777777" w:rsidR="005561F7" w:rsidRPr="005561F7" w:rsidRDefault="005561F7" w:rsidP="004D0185">
      <w:r w:rsidRPr="005561F7">
        <w:t xml:space="preserve">The rapidity with which complex multiscale networks emerge under reciprocal selection is illustrated by laboratory bacteria-phage coevolution experiments. Borin et al. (2023) showed that E. coli and bacteriophage Φ21, starting from isogenic populations in simple well-mixed cultures, diversified into elaborate nested-modular cross-infection networks in only 21 days. “We show that multiscale network structure can evolve rapidly under simple ecological conditions without spatial structure […] the process of </w:t>
      </w:r>
      <w:r w:rsidRPr="005561F7">
        <w:rPr>
          <w:i/>
          <w:iCs/>
        </w:rPr>
        <w:t>coevolution</w:t>
      </w:r>
      <w:r w:rsidRPr="005561F7">
        <w:t xml:space="preserve"> itself is sufficient to drive the rapid emergence of complex multiscale networks.” The </w:t>
      </w:r>
      <w:proofErr w:type="spellStart"/>
      <w:r w:rsidRPr="005561F7">
        <w:t>Plio</w:t>
      </w:r>
      <w:proofErr w:type="spellEnd"/>
      <w:r w:rsidRPr="005561F7">
        <w:t>-Pleistocene salinity oscillations in the East African Rift Valley imposed repeated, rapid environmental flips on the Candida–hominid partnership, providing thousands of such serial-passage cycles in which the same simple adaptive rules — nutrient sensing, perfusion management, immune modulation — could refine the symbiont’s distributed biochemical computer into the full Homo candidus phenotype.</w:t>
      </w:r>
    </w:p>
    <w:p w14:paraId="133CE0B1" w14:textId="588F8645" w:rsidR="00A875A6" w:rsidRDefault="00A875A6" w:rsidP="004D0185">
      <w:r w:rsidRPr="00A875A6">
        <w:t>From an evolutionary systems perspective, the lipid signaling architecture is less accurately conceptualized as a linear pathway than as a branching network emerging from common biochemical roots. In this framework, the ECS functions as a central trunk, while prostaglandin-mediated inflammatory and vascular signaling represents a parallel branch derived from the same membrane substrate economy. The expansion of signaling capacity across this receptor landscape reflects the progressive elaboration of lipid-mediated regulatory mechanisms over evolutionary time</w:t>
      </w:r>
      <w:r>
        <w:t xml:space="preserve"> growing outward from the same structural roots.</w:t>
      </w:r>
    </w:p>
    <w:p w14:paraId="7880F58C" w14:textId="77777777" w:rsidR="00303C34" w:rsidRDefault="006C3A6A" w:rsidP="004D0185">
      <w:r>
        <w:t>Farnesol alone, one compound from a library of hundreds, has been shown to interact with multiple classes of host receptor and signaling systems beyond the ECS:</w:t>
      </w:r>
    </w:p>
    <w:p w14:paraId="0658F3AC" w14:textId="77777777" w:rsidR="00303C34" w:rsidRDefault="006C3A6A" w:rsidP="004D0185">
      <w:r>
        <w:rPr>
          <w:b/>
          <w:bCs/>
        </w:rPr>
        <w:t>Nuclear receptors.</w:t>
      </w:r>
      <w:r>
        <w:t xml:space="preserve"> In 1995, Forman et al. identified a mammalian orphan nuclear receptor activated by farnesol metabolites, subsequently named the </w:t>
      </w:r>
      <w:proofErr w:type="spellStart"/>
      <w:r>
        <w:t>farnesoid</w:t>
      </w:r>
      <w:proofErr w:type="spellEnd"/>
      <w:r>
        <w:t xml:space="preserve"> X receptor (FXR). FXR directly regulates gene transcription governing bile acid metabolism, lipid homeostasis, glucose metabolism, and hepatic function. Farnesol also activates peroxisome proliferator-activated receptors (PPARs), nuclear receptors that regulate lipid metabolism, inflammation, and cellular differentiation. These are not membrane-level signals. They represent direct access to the host’s transcriptional machinery.</w:t>
      </w:r>
    </w:p>
    <w:p w14:paraId="1D88D20C" w14:textId="77777777" w:rsidR="00303C34" w:rsidRDefault="006C3A6A" w:rsidP="004D0185">
      <w:r>
        <w:rPr>
          <w:b/>
          <w:bCs/>
        </w:rPr>
        <w:t>Ion channels.</w:t>
      </w:r>
      <w:r>
        <w:t xml:space="preserve"> Farnesol was identified by Roullet et al. (1999) as an endogenous inhibitor of N-type voltage-gated Ca²⁺ channels in mammalian cells. Calcium signaling is foundational to virtually every cellular process, including cardiac conduction, a point of direct relevance to the </w:t>
      </w:r>
      <w:r>
        <w:lastRenderedPageBreak/>
        <w:t xml:space="preserve">cardiac architecture hypothesis described in Section 7. Farnesol is present in the human brain at measurable concentrations of 110–290 </w:t>
      </w:r>
      <w:proofErr w:type="spellStart"/>
      <w:r>
        <w:t>pmol</w:t>
      </w:r>
      <w:proofErr w:type="spellEnd"/>
      <w:r>
        <w:t>/g (Roullet et al., 1999).</w:t>
      </w:r>
    </w:p>
    <w:p w14:paraId="24EED18E" w14:textId="77777777" w:rsidR="00303C34" w:rsidRDefault="006C3A6A" w:rsidP="004D0185">
      <w:r>
        <w:rPr>
          <w:b/>
          <w:bCs/>
        </w:rPr>
        <w:t>Neurotransmitter receptors.</w:t>
      </w:r>
      <w:r>
        <w:t xml:space="preserve"> Gc et al. (2023) demonstrated that farnesol acts as a positive allosteric modulator of γ-aminobutyric acid type A receptors (GABA-A), binding to the transmembrane </w:t>
      </w:r>
      <w:proofErr w:type="spellStart"/>
      <w:r>
        <w:t>neurosteroid</w:t>
      </w:r>
      <w:proofErr w:type="spellEnd"/>
      <w:r>
        <w:t xml:space="preserve"> site through a lipid pathway. GABA-A receptors mediate the primary inhibitory neurotransmission in the mammalian central nervous system and are the targets of benzodiazepines, barbiturates, and alcohol. This finding establishes a direct molecular pathway between a </w:t>
      </w:r>
      <w:r>
        <w:rPr>
          <w:i/>
          <w:iCs/>
        </w:rPr>
        <w:t>Candida</w:t>
      </w:r>
      <w:r>
        <w:t>-produced metabolite and the modulation of host consciousness, anxiety, and neurological function.</w:t>
      </w:r>
    </w:p>
    <w:p w14:paraId="78E9FB17" w14:textId="77777777" w:rsidR="00303C34" w:rsidRDefault="006C3A6A" w:rsidP="004D0185">
      <w:r>
        <w:rPr>
          <w:b/>
          <w:bCs/>
        </w:rPr>
        <w:t>The incretin system.</w:t>
      </w:r>
      <w:r>
        <w:t xml:space="preserve"> The GLP-1 receptor, a GPCR in the Secretin family, co-evolved alongside the ECS and demonstrates confirmed crosstalk with cannabinoid signaling pathways. </w:t>
      </w:r>
      <w:proofErr w:type="spellStart"/>
      <w:r>
        <w:t>Peroumal</w:t>
      </w:r>
      <w:proofErr w:type="spellEnd"/>
      <w:r>
        <w:t xml:space="preserve"> et al. (2022) demonstrated that </w:t>
      </w:r>
      <w:r>
        <w:rPr>
          <w:i/>
          <w:iCs/>
        </w:rPr>
        <w:t>C. albicans</w:t>
      </w:r>
      <w:r>
        <w:t xml:space="preserve"> colonization of the murine gut measurably alters levels of GLP-1, GIP, insulin, and other metabolic hormones. The GLP-1 receptor is the target of the semaglutide and tirzepatide drug classes currently prescribed to tens of millions of patients for metabolic disease, generating hundreds of billions of dollars in market value. No published study has investigated what chronic GLP-1 receptor agonism does to the fungal symbiont ecology or how the symbiont adapts </w:t>
      </w:r>
      <w:proofErr w:type="gramStart"/>
      <w:r>
        <w:t>its</w:t>
      </w:r>
      <w:proofErr w:type="gramEnd"/>
      <w:r>
        <w:t xml:space="preserve"> signaling in response. This represents an intervention in an unmapped system, modulating a receptor whose relationship to the resident fungal ecology has never been characterized.</w:t>
      </w:r>
    </w:p>
    <w:p w14:paraId="43529EA3" w14:textId="76CFF4F8" w:rsidR="00303C34" w:rsidRDefault="006C3A6A" w:rsidP="004D0185">
      <w:r>
        <w:rPr>
          <w:b/>
          <w:bCs/>
        </w:rPr>
        <w:t>Immune modulation.</w:t>
      </w:r>
      <w:r>
        <w:t xml:space="preserve"> Farnesol induces apoptosis in macrophages (</w:t>
      </w:r>
      <w:r w:rsidR="0056527D" w:rsidRPr="0056527D">
        <w:t>Navarathna DH, Nickerson KW, et al. (2007)</w:t>
      </w:r>
      <w:r>
        <w:t xml:space="preserve">). Tyrosol, a second </w:t>
      </w:r>
      <w:r>
        <w:rPr>
          <w:i/>
          <w:iCs/>
        </w:rPr>
        <w:t>C. albicans</w:t>
      </w:r>
      <w:r>
        <w:t xml:space="preserve"> quorum-sensing molecule, inhibits neutrophil reactive oxygen species production, disabling the oxidative burst that constitutes the primary fungicidal mechanism of these immune cells (Joo et al., 2010). Farnesol significantly impairs the differentiation of monocytes into dendritic cells, downregulating surface markers critical for antigen presentation including CD1a, CD83, CD86, and dectin-1, the primary β-glucan recognition receptor (Leonhardt et al., 2015). Dendritic cells generated in the presence of farnesol fail to induce proper T-cell responses and do not secrete the Th1-promoting cytokine IL-12. Critically, farnesol simultaneously activates innate immune markers on monocytes and neutrophils without enhancing actual fungal uptake or killing (Leonhardt et al., 2015). The immune system appears active. It does not clear the organism.</w:t>
      </w:r>
    </w:p>
    <w:p w14:paraId="539CA1AA" w14:textId="77777777" w:rsidR="00303C34" w:rsidRDefault="006C3A6A" w:rsidP="004D0185">
      <w:r>
        <w:rPr>
          <w:b/>
          <w:bCs/>
        </w:rPr>
        <w:t>The immune-gut-brain axis.</w:t>
      </w:r>
      <w:r>
        <w:t xml:space="preserve"> Current research positions farnesol as a messenger in the immune-gut-brain axis (Gates et al., 2026). In murine models of central nervous system inflammation, farnesol at doses of approximately 100 mg/kg demonstrated protective effects by reducing oxidative stress and proinflammatory cytokines. Farnesol upregulates TLR2 and downregulates TLR4 and TLR6 expression in oral epithelial cells exposed to </w:t>
      </w:r>
      <w:r>
        <w:rPr>
          <w:i/>
          <w:iCs/>
        </w:rPr>
        <w:t>C. albicans</w:t>
      </w:r>
      <w:r>
        <w:t>, modulating the primary molecular defense mechanisms at the epithelial barrier (</w:t>
      </w:r>
      <w:proofErr w:type="spellStart"/>
      <w:r>
        <w:t>Décanis</w:t>
      </w:r>
      <w:proofErr w:type="spellEnd"/>
      <w:r>
        <w:t xml:space="preserve"> et al., 2009). The molecular targets of farnesol, specifically FXR and voltage-gated calcium channels, are both intimately involved in immune homeostasis, positioning farnesol as a plausible metabolic mediator of crosstalk among brain cells, immune cells, intestinal barrier cells, and intestinal microbes (Gates et al., 2026).</w:t>
      </w:r>
    </w:p>
    <w:p w14:paraId="3AF2D76A" w14:textId="77777777" w:rsidR="00303C34" w:rsidRDefault="006C3A6A" w:rsidP="004D0185">
      <w:r>
        <w:rPr>
          <w:b/>
          <w:bCs/>
        </w:rPr>
        <w:t>The cholinergic system.</w:t>
      </w:r>
      <w:r>
        <w:t xml:space="preserve"> Acetylcholine (</w:t>
      </w:r>
      <w:proofErr w:type="spellStart"/>
      <w:r>
        <w:t>ACh</w:t>
      </w:r>
      <w:proofErr w:type="spellEnd"/>
      <w:r>
        <w:t xml:space="preserve">), the primary neurotransmitter of the parasympathetic nervous system and the </w:t>
      </w:r>
      <w:proofErr w:type="spellStart"/>
      <w:r>
        <w:t>vagus</w:t>
      </w:r>
      <w:proofErr w:type="spellEnd"/>
      <w:r>
        <w:t xml:space="preserve"> nerve, represents another confirmed signaling interface between </w:t>
      </w:r>
      <w:r>
        <w:rPr>
          <w:i/>
          <w:iCs/>
        </w:rPr>
        <w:t>C. albicans</w:t>
      </w:r>
      <w:r>
        <w:t xml:space="preserve"> and the mammalian host. Unlike the farnesol-mediated interactions described above, where the organism produces a compound that acts on host receptors, the cholinergic interface is bidirectional: the host signals to the organism, and the organism’s presence alters host cholinergic signaling.</w:t>
      </w:r>
    </w:p>
    <w:p w14:paraId="113EE37D" w14:textId="77777777" w:rsidR="00303C34" w:rsidRDefault="006C3A6A" w:rsidP="004D0185">
      <w:r>
        <w:rPr>
          <w:i/>
          <w:iCs/>
        </w:rPr>
        <w:lastRenderedPageBreak/>
        <w:t>C. albicans</w:t>
      </w:r>
      <w:r>
        <w:t xml:space="preserve"> possesses a functional cholinergic receptor. The general muscarinic receptor agonist pilocarpine hydrochloride inhibits </w:t>
      </w:r>
      <w:r>
        <w:rPr>
          <w:i/>
          <w:iCs/>
        </w:rPr>
        <w:t>C. albicans</w:t>
      </w:r>
      <w:r>
        <w:t xml:space="preserve"> biofilm formation and pathogenicity, a phenomenon reversed by the muscarinic antagonist scopolamine (Nile et al., 2018). Acetylcholine itself inhibits </w:t>
      </w:r>
      <w:r>
        <w:rPr>
          <w:i/>
          <w:iCs/>
        </w:rPr>
        <w:t>C. albicans</w:t>
      </w:r>
      <w:r>
        <w:t xml:space="preserve"> biofilm formation both in vitro and in vivo, while also modulating the yeast-to-hyphal morphological transition in a context-dependent manner (Rajendran et al., 2015; A &amp; </w:t>
      </w:r>
      <w:proofErr w:type="spellStart"/>
      <w:r>
        <w:t>Sm</w:t>
      </w:r>
      <w:proofErr w:type="spellEnd"/>
      <w:r>
        <w:t xml:space="preserve">, 2018). This is the first confirmed instance of </w:t>
      </w:r>
      <w:r>
        <w:rPr>
          <w:i/>
          <w:iCs/>
        </w:rPr>
        <w:t>C. albicans</w:t>
      </w:r>
      <w:r>
        <w:t xml:space="preserve"> possessing a receptor for a host neurotransmitter, in contrast to farnesol, where no receptor has been identified in the organism despite extensive searching.</w:t>
      </w:r>
    </w:p>
    <w:p w14:paraId="34A9EE0E" w14:textId="77777777" w:rsidR="00303C34" w:rsidRDefault="006C3A6A" w:rsidP="004D0185">
      <w:r>
        <w:t xml:space="preserve">The interaction extends beyond receptor signaling to metabolic interdependence. Acetylcholine is essential for the formation of the chitin wall characteristic of fungi, and </w:t>
      </w:r>
      <w:r>
        <w:rPr>
          <w:i/>
          <w:iCs/>
        </w:rPr>
        <w:t>Candida</w:t>
      </w:r>
      <w:r>
        <w:t xml:space="preserve"> species contribute to host acquisition of choline, the precursor to acetylcholine synthesis (Chen et al., 2022). The organism is not merely sensing the host’s cholinergic signaling; it is a participant in the host’s choline economy, both consuming choline for its own structural needs and contributing to the host’s choline pool.</w:t>
      </w:r>
    </w:p>
    <w:p w14:paraId="761E590A" w14:textId="77777777" w:rsidR="00303C34" w:rsidRDefault="006C3A6A" w:rsidP="004D0185">
      <w:r>
        <w:t xml:space="preserve">The implications for host physiology are direct. The cholinergic anti-inflammatory pathway, a primary mechanism by which the host regulates immune responses, is mediated by acetylcholine released from efferent </w:t>
      </w:r>
      <w:proofErr w:type="spellStart"/>
      <w:r>
        <w:t>vagus</w:t>
      </w:r>
      <w:proofErr w:type="spellEnd"/>
      <w:r>
        <w:t xml:space="preserve"> nerve terminals. This acetylcholine interacts with the alpha-7 nicotinic receptor (α7nAChR) on proximal immune cells to downregulate localized inflammation (Rajendran et al., 2015). </w:t>
      </w:r>
      <w:r>
        <w:rPr>
          <w:i/>
          <w:iCs/>
        </w:rPr>
        <w:t>C. albicans</w:t>
      </w:r>
      <w:r>
        <w:t xml:space="preserve"> infection in murine models significantly elevates acetylcholine levels in both brain and kidney tissue (2019 pyrimidine derivatives study). An organism with a functional cholinergic receptor, residing in the gut (the primary innervation territory of the </w:t>
      </w:r>
      <w:proofErr w:type="spellStart"/>
      <w:r>
        <w:t>vagus</w:t>
      </w:r>
      <w:proofErr w:type="spellEnd"/>
      <w:r>
        <w:t xml:space="preserve"> nerve), that also modulates host acetylcholine levels and participates in choline metabolism, has direct access to the parasympathetic nervous system and the vagal anti-inflammatory pathway.</w:t>
      </w:r>
    </w:p>
    <w:p w14:paraId="054AB931" w14:textId="2F91E77E" w:rsidR="00303C34" w:rsidRDefault="006C3A6A" w:rsidP="004D0185">
      <w:r>
        <w:t xml:space="preserve">The longitudinal case study (Craddock, </w:t>
      </w:r>
      <w:r w:rsidR="009B06E6">
        <w:t>2026c)</w:t>
      </w:r>
      <w:r>
        <w:t xml:space="preserve"> documents two distinct periods of choline-related supplementation spanning the full duration of the condition. Over approximately two decades, the subject regularly consumed a choline-containing liver support supplement (</w:t>
      </w:r>
      <w:proofErr w:type="spellStart"/>
      <w:r>
        <w:t>LiverAid</w:t>
      </w:r>
      <w:proofErr w:type="spellEnd"/>
      <w:r>
        <w:t>), initially motivated by concern for hepatic health given the metabolic stresses documented throughout the case, including ketoconazole-induced liver symptoms, dark urine, and digestive dysfunction. The subject came to recognize over time that the supplement functioned as a treatment, producing consistent relief of systemic tension and general symptom modulation, though the mechanism was not understood at the time.</w:t>
      </w:r>
    </w:p>
    <w:p w14:paraId="1EAF374A" w14:textId="77777777" w:rsidR="00303C34" w:rsidRDefault="006C3A6A" w:rsidP="004D0185">
      <w:r>
        <w:t>In a much later stage of the condition, for a period of weeks in 2025, the subject experienced a distinct peripheral neurological symptom described as a vibrating sensation in the extremities, consistent in character with the pseudo-Addisonian crisis documented in 2018, though far lower in intensity. Direct choline supplementation via liquid drops resolved the vibrating sensation within seconds of administration. This temporal profile is not consistent with correction of a nutritional deficiency, which would require days to weeks. It is consistent with rapid restoration of cholinergic signaling in a system where the symbiont’s metabolic demands on the shared choline pool produce a functional deficit in host acetylcholine availability. When the substrate is replenished, the signaling normalizes immediately.</w:t>
      </w:r>
    </w:p>
    <w:p w14:paraId="42E8C4FC" w14:textId="77777777" w:rsidR="00303C34" w:rsidRDefault="006C3A6A" w:rsidP="004D0185">
      <w:r>
        <w:t xml:space="preserve">Both observations are from a single subject and are anecdotal. They are, however, internally consistent with each other across a span of decades, and consistent with the documented role of </w:t>
      </w:r>
      <w:r>
        <w:rPr>
          <w:i/>
          <w:iCs/>
        </w:rPr>
        <w:t>Candida</w:t>
      </w:r>
      <w:r>
        <w:t xml:space="preserve"> in host choline metabolism and the confirmed bidirectional cholinergic interface described above.</w:t>
      </w:r>
    </w:p>
    <w:p w14:paraId="588EB365" w14:textId="68425FF1" w:rsidR="00937F2A" w:rsidRDefault="006C3A6A" w:rsidP="004D0185">
      <w:r>
        <w:rPr>
          <w:b/>
          <w:bCs/>
        </w:rPr>
        <w:lastRenderedPageBreak/>
        <w:t>Anticancer selectivity.</w:t>
      </w:r>
      <w:r>
        <w:t xml:space="preserve"> Farnesol induces apoptosis in various cancer cell lines, including lung, oral, and tongue carcinoma, by causing endoplasmic reticulum stress and mitochondrial dysfunction (Joo et al., 2009). Tumor cells are considerably more sensitive to farnesol-induced growth inhibition than normal cells; human primary T lymphocytes and monocytes are relatively resistant to the concentrations that kill leukemic cells. At supraphysiological concentrations, farnesol acts as a surfactant that accumulates in cell membranes, causing ion leakage and cell death. The preferential sensitivity of cancer cells, which carry defective signaling pathways secondary to genetic and epigenetic alterations, suggests that farnesol exploits the same pathway disruptions that make cancer cells malignant. An organism producing a compound that selectively eliminates cells with aberrant signaling while sparing cells with intact pathways is, in effect, performing quality control on host tissue.</w:t>
      </w:r>
    </w:p>
    <w:p w14:paraId="550B9340" w14:textId="6F40D2D6" w:rsidR="004F0C55" w:rsidRDefault="00937F2A" w:rsidP="004F0C55">
      <w:pPr>
        <w:pStyle w:val="Heading2"/>
      </w:pPr>
      <w:r>
        <w:t xml:space="preserve">5.5a </w:t>
      </w:r>
      <w:r w:rsidR="004F0C55">
        <w:t>The Peptide Signaling Layer: A Second Cross-Kingdom Channel</w:t>
      </w:r>
    </w:p>
    <w:p w14:paraId="381CD4F1" w14:textId="77777777" w:rsidR="004F0C55" w:rsidRDefault="004F0C55" w:rsidP="004D0185">
      <w:r>
        <w:t xml:space="preserve">The signaling architecture described in the preceding sections operates primarily through lipid-mediated pathways: farnesol and the sesquiterpene library interact with GPCRs, nuclear receptors, ion channels, and neurotransmitter receptors through lipophilic docking. The endocannabinoid system itself is a lipid-signaling network. This lipid channel is the trunk of the signaling architecture, and we have argued it was the original handshake between symbiont and host. However, </w:t>
      </w:r>
      <w:r>
        <w:rPr>
          <w:i/>
          <w:iCs/>
        </w:rPr>
        <w:t>C. albicans</w:t>
      </w:r>
      <w:r>
        <w:t xml:space="preserve"> also produces, processes, and imports peptides through a machinery that is not merely analogous to the mammalian peptide-processing system but directly homologous to it. This peptide layer constitutes a second, parallel cross-kingdom signaling channel, operating through different molecular classes, different receptor targets, and different functional logic than the lipid channel, but running on shared enzymatic infrastructure that predates the mammalian-fungal divergence.</w:t>
      </w:r>
    </w:p>
    <w:p w14:paraId="45220176" w14:textId="77777777" w:rsidR="004F0C55" w:rsidRDefault="004F0C55" w:rsidP="004D0185">
      <w:r>
        <w:rPr>
          <w:b/>
          <w:bCs/>
          <w:i/>
          <w:iCs/>
        </w:rPr>
        <w:t xml:space="preserve">Shared peptide-processing machinery. </w:t>
      </w:r>
      <w:r>
        <w:rPr>
          <w:i/>
          <w:iCs/>
        </w:rPr>
        <w:t>C. albicans</w:t>
      </w:r>
      <w:r>
        <w:t xml:space="preserve"> processes its Ece1 polyprotein through the Golgi-associated </w:t>
      </w:r>
      <w:proofErr w:type="spellStart"/>
      <w:r>
        <w:t>endoproteinase</w:t>
      </w:r>
      <w:proofErr w:type="spellEnd"/>
      <w:r>
        <w:t xml:space="preserve"> Kex2p, a member of the subtilisin-family serine protease superfamily. Kex2p cleaves precursor proteins at dibasic lysine-arginine (KR) motifs to release multiple bioactive peptide products. The mammalian prohormone convertases PC1, PC2, and furin, the enzymes responsible for processing neuropeptide precursors, insulin prohormone, and other peptide hormone zymogens, possess catalytic domains directly homologous to Kex2p and were discovered by homology to the yeast enzyme (Richardson et al., 2018; Bader et al., 2008). The processing logic is identical: a precursor protein containing dibasic cleavage sites is proteolytically processed through sequential </w:t>
      </w:r>
      <w:proofErr w:type="spellStart"/>
      <w:r>
        <w:t>endoprotease</w:t>
      </w:r>
      <w:proofErr w:type="spellEnd"/>
      <w:r>
        <w:t xml:space="preserve"> and carboxypeptidase activity to yield mature bioactive peptides. In </w:t>
      </w:r>
      <w:r>
        <w:rPr>
          <w:i/>
          <w:iCs/>
        </w:rPr>
        <w:t>C. albicans</w:t>
      </w:r>
      <w:r>
        <w:t>, Kex2p performs the endoproteolytic cleavage and Kex1p removes the C-terminal arginine; in mammals, PC1/PC2 perform the analogous endoproteolytic step and carboxypeptidase E removes the C-terminal basic residues (Richardson et al., 2018).</w:t>
      </w:r>
    </w:p>
    <w:p w14:paraId="449ED286" w14:textId="127D2CE5" w:rsidR="004F0C55" w:rsidRDefault="004F0C55" w:rsidP="004D0185">
      <w:r>
        <w:t xml:space="preserve">This is not convergent evolution. It is conserved deep ancestry of the peptide-processing pipeline. The fungus and the mammalian host have been producing bioactive peptides through the same enzymatic grammar for the entire duration of their </w:t>
      </w:r>
      <w:r w:rsidR="00DD6777">
        <w:t>coevolution</w:t>
      </w:r>
      <w:r>
        <w:t>ary relationship. An organism that already speaks the host’s peptide-processing language does not need to evolve novel peptide-production machinery to interact with host peptide signaling. It needs only to evolve the sequences that, when processed through the shared machinery, produce peptides with the desired host-interaction profiles.</w:t>
      </w:r>
    </w:p>
    <w:p w14:paraId="1BFF4389" w14:textId="77777777" w:rsidR="004F0C55" w:rsidRDefault="004F0C55" w:rsidP="004D0185">
      <w:r>
        <w:rPr>
          <w:b/>
          <w:bCs/>
          <w:i/>
          <w:iCs/>
        </w:rPr>
        <w:t xml:space="preserve">The Ece1 </w:t>
      </w:r>
      <w:proofErr w:type="gramStart"/>
      <w:r>
        <w:rPr>
          <w:b/>
          <w:bCs/>
          <w:i/>
          <w:iCs/>
        </w:rPr>
        <w:t>peptide panel</w:t>
      </w:r>
      <w:proofErr w:type="gramEnd"/>
      <w:r>
        <w:rPr>
          <w:b/>
          <w:bCs/>
          <w:i/>
          <w:iCs/>
        </w:rPr>
        <w:t xml:space="preserve">. </w:t>
      </w:r>
      <w:r>
        <w:t xml:space="preserve">Kex2p processing of the 271-amino-acid Ece1 polyprotein produces eight discrete peptides, not one (Moyes et al., 2016; Richardson et al., 2018). </w:t>
      </w:r>
      <w:r>
        <w:lastRenderedPageBreak/>
        <w:t xml:space="preserve">Candidalysin (Ece1-III, positions 62–92), a 31-amino-acid cytolytic peptide toxin and the first such toxin identified in any human fungal pathogen (Moyes et al., 2016), has received </w:t>
      </w:r>
      <w:proofErr w:type="gramStart"/>
      <w:r>
        <w:t>the majority of</w:t>
      </w:r>
      <w:proofErr w:type="gramEnd"/>
      <w:r>
        <w:t xml:space="preserve"> research attention. However, the remaining seven Ece1 peptides are co-secreted during hyphal growth and have begun to yield functional data. A 2024 high-throughput yeast two-hybrid interactome screen (Lin et al., 2024) mapped the human protein targets of all eight Ece1 peptides and found that multiple non-</w:t>
      </w:r>
      <w:proofErr w:type="spellStart"/>
      <w:r>
        <w:t>candidalysin</w:t>
      </w:r>
      <w:proofErr w:type="spellEnd"/>
      <w:r>
        <w:t xml:space="preserve"> peptides, particularly Ece1-II and Ece1-V, interact with members of the leukocyte immunoglobulin-like receptor (LILR) family, specifically the inhibitory receptors LILRB1 through LILRB5. These receptors directly suppress immune cell activation. Functional enrichment of the shared interactors of Ece1-II and </w:t>
      </w:r>
      <w:proofErr w:type="spellStart"/>
      <w:r>
        <w:t>candidalysin</w:t>
      </w:r>
      <w:proofErr w:type="spellEnd"/>
      <w:r>
        <w:t xml:space="preserve"> revealed association with cell cycle regulation, Cyclin D-associated events in G1, and immune response-inhibiting cell surface receptor signaling pathways (Lin et al., 2024).</w:t>
      </w:r>
    </w:p>
    <w:p w14:paraId="2ACEA4FB" w14:textId="77777777" w:rsidR="004F0C55" w:rsidRDefault="004F0C55" w:rsidP="004D0185">
      <w:r>
        <w:t>The Ece1 polyprotein is therefore not a toxin delivery system that incidentally produces byproducts. It is a coordinated peptide panel: one peptide for tissue invasion and membrane disruption (</w:t>
      </w:r>
      <w:proofErr w:type="spellStart"/>
      <w:r>
        <w:t>candidalysin</w:t>
      </w:r>
      <w:proofErr w:type="spellEnd"/>
      <w:r>
        <w:t>), others for immune suppression through distinct receptor pathways (the LILR-interacting peptides), and potentially additional undiscovered functions among the remaining peptides. This architecture parallels mammalian prohormone precursors, which routinely produce multiple bioactive peptides with distinct functions from a single gene product (e.g., proopiomelanocortin yielding ACTH, α-MSH, β-endorphin, and β-lipotropin). The parallel is not metaphorical. It runs on the same enzymatic machinery.</w:t>
      </w:r>
    </w:p>
    <w:p w14:paraId="549BEC3A" w14:textId="77777777" w:rsidR="004F0C55" w:rsidRDefault="004F0C55" w:rsidP="004D0185">
      <w:r>
        <w:t xml:space="preserve">This multi-peptide architecture is consistent with the effector hypothesis proposed in Section 5.7. Candidalysin is the attention-grabber in pathogenesis research because it produces measurable tissue damage. But the quiet peptides, the ones interacting with immune-inhibitory receptors, may be performing the environmental management work that the effector model </w:t>
      </w:r>
      <w:proofErr w:type="gramStart"/>
      <w:r>
        <w:t>predicts:</w:t>
      </w:r>
      <w:proofErr w:type="gramEnd"/>
      <w:r>
        <w:t xml:space="preserve"> maintaining the conditions under which the symbiont’s long-term program operates without triggering the inflammatory cascades that would destabilize the niche. The organism is not simply producing a weapon. It </w:t>
      </w:r>
      <w:proofErr w:type="gramStart"/>
      <w:r>
        <w:t>is producing</w:t>
      </w:r>
      <w:proofErr w:type="gramEnd"/>
      <w:r>
        <w:t xml:space="preserve"> a toolkit, with different peptides deployed for different aspects of host management, processed through the same Kex2p/Kex1p machinery in a single coordinated secretion event.</w:t>
      </w:r>
    </w:p>
    <w:p w14:paraId="7CC24C00" w14:textId="77777777" w:rsidR="004F0C55" w:rsidRDefault="004F0C55" w:rsidP="004D0185">
      <w:r>
        <w:rPr>
          <w:b/>
          <w:bCs/>
          <w:i/>
          <w:iCs/>
        </w:rPr>
        <w:t xml:space="preserve">Candidalysin’s expanding host target map. </w:t>
      </w:r>
      <w:r>
        <w:t xml:space="preserve">Recent work (2024–2025) has revealed that </w:t>
      </w:r>
      <w:proofErr w:type="spellStart"/>
      <w:r>
        <w:t>candidalysin’s</w:t>
      </w:r>
      <w:proofErr w:type="spellEnd"/>
      <w:r>
        <w:t xml:space="preserve"> host interactions extend far beyond membrane lysis. The peptide binds glycosaminoglycans (GAGs) on epithelial cell surfaces, which promote its polymerization and facilitate membrane insertion, triggering calcium influx that activates the ESCRT-III membrane repair pathway (Lin and Filler, 2025). Inside the cell, </w:t>
      </w:r>
      <w:proofErr w:type="spellStart"/>
      <w:r>
        <w:t>candidalysin</w:t>
      </w:r>
      <w:proofErr w:type="spellEnd"/>
      <w:r>
        <w:t xml:space="preserve"> binds cyclin H (CCNH), a regulatory subunit of the CDK-activating kinase complex, activating it to inhibit double-strand DNA break repair (Lin et al., 2024). This has direct implications for the epidemiological association between </w:t>
      </w:r>
      <w:r>
        <w:rPr>
          <w:i/>
          <w:iCs/>
        </w:rPr>
        <w:t>C. albicans</w:t>
      </w:r>
      <w:r>
        <w:t xml:space="preserve"> and oral and colorectal cancers, as CCNH expression is upregulated in gastrointestinal stromal tumors, breast cancer, esophageal squamous cell carcinoma, and brain tumors (Lin et al., 2024). In the lung, </w:t>
      </w:r>
      <w:proofErr w:type="spellStart"/>
      <w:r>
        <w:t>candidalysin</w:t>
      </w:r>
      <w:proofErr w:type="spellEnd"/>
      <w:r>
        <w:t xml:space="preserve"> binds </w:t>
      </w:r>
      <w:proofErr w:type="spellStart"/>
      <w:r>
        <w:t>GPIb</w:t>
      </w:r>
      <w:proofErr w:type="spellEnd"/>
      <w:r>
        <w:t xml:space="preserve">α, a subunit of the platelet receptor complex, inducing platelet activation and release of Dickkopf-1, which drives Th2 and Th17 immune polarization and reactive airway disease (Wu et al., cited in Lin and Filler, 2025). In epithelial cells, </w:t>
      </w:r>
      <w:proofErr w:type="spellStart"/>
      <w:r>
        <w:t>candidalysin</w:t>
      </w:r>
      <w:proofErr w:type="spellEnd"/>
      <w:r>
        <w:t xml:space="preserve"> induces EGFR ubiquitination and lysosomal degradation through a mechanism involving recruitment of Grb2, AP2M1, and HRS, effectively reprogramming host growth factor receptor trafficking (ASM, 2025).</w:t>
      </w:r>
    </w:p>
    <w:p w14:paraId="44EAA186" w14:textId="77777777" w:rsidR="004F0C55" w:rsidRDefault="004F0C55" w:rsidP="004D0185">
      <w:r>
        <w:t xml:space="preserve">Each of these interactions is peptide-to-host-receptor, distinct from the lipid-mediated farnesol pathway described in the preceding sections. The organism operates two parallel signaling channels: lipids for broad environmental tone-setting (ECS modulation, nuclear </w:t>
      </w:r>
      <w:r>
        <w:lastRenderedPageBreak/>
        <w:t>receptor activation, ion channel modulation, neurotransmitter receptor binding), and peptides for targeted action (tissue remodeling, DNA damage pathway hijacking, immune polarization, growth factor receptor manipulation). Two languages, one architecture.</w:t>
      </w:r>
    </w:p>
    <w:p w14:paraId="78435F87" w14:textId="77777777" w:rsidR="004F0C55" w:rsidRDefault="004F0C55" w:rsidP="004D0185">
      <w:r>
        <w:rPr>
          <w:b/>
          <w:bCs/>
          <w:i/>
          <w:iCs/>
        </w:rPr>
        <w:t xml:space="preserve">Peptide transport capacity beyond commensal necessity. </w:t>
      </w:r>
      <w:r>
        <w:rPr>
          <w:i/>
          <w:iCs/>
        </w:rPr>
        <w:t>C. albicans</w:t>
      </w:r>
      <w:r>
        <w:t xml:space="preserve"> encodes ten dedicated peptide transporters: two members of the PTR family (Ptr2 and Ptr22), which handle dipeptides and tripeptides, and eight members of the OPT family (Opt1 through Opt8), which handle oligopeptides up to at least eight amino acids in length (Dunkel et al., 2013; </w:t>
      </w:r>
      <w:proofErr w:type="spellStart"/>
      <w:r>
        <w:t>Reuß</w:t>
      </w:r>
      <w:proofErr w:type="spellEnd"/>
      <w:r>
        <w:t xml:space="preserve"> and </w:t>
      </w:r>
      <w:proofErr w:type="spellStart"/>
      <w:r>
        <w:t>Morschhäuser</w:t>
      </w:r>
      <w:proofErr w:type="spellEnd"/>
      <w:r>
        <w:t xml:space="preserve">, 2006). This represents a substantial expansion relative to </w:t>
      </w:r>
      <w:r>
        <w:rPr>
          <w:i/>
          <w:iCs/>
        </w:rPr>
        <w:t>Saccharomyces cerevisiae</w:t>
      </w:r>
      <w:r>
        <w:t>, which encodes a single PTR family member. The SAP (secreted aspartyl proteinase) family provides the extracellular digestion component: SAPs degrade host proteins in the extracellular space, and the OPT/PTR transporters import the resulting peptide fragments as nitrogen sources. The system constitutes a complete digest-and-import pipeline tuned for operation inside a mammalian host.</w:t>
      </w:r>
    </w:p>
    <w:p w14:paraId="4BB4B3AE" w14:textId="77777777" w:rsidR="004F0C55" w:rsidRDefault="004F0C55" w:rsidP="004D0185">
      <w:r>
        <w:t>Opt1 was found to be remarkably flexible, transporting all tripeptides tested and even a dipeptide, a substrate class never previously attributed to the OPT family (Dunkel et al., 2013). Opt7 specifically transports glutathione (Desai et al., 2011), the host’s primary intracellular antioxidant, an import function that represents theft of the host’s redox defense molecule rather than nutritional acquisition.</w:t>
      </w:r>
    </w:p>
    <w:p w14:paraId="6E5DFAF1" w14:textId="77777777" w:rsidR="004F0C55" w:rsidRDefault="004F0C55" w:rsidP="004D0185">
      <w:r>
        <w:t>The evolutionary significance lies in what happened when the system was removed. Dunkel et al. (2013) constructed a septuple mutant lacking all five major OPT transporters and both PTR transporters. These mutants could not grow on peptides or proteins as sole nitrogen sources. Yet they had no fitness defect in a mouse model of gastrointestinal colonization. The fungus survived on alternative nitrogen sources in the gut. This massive peptide transport apparatus is therefore not essential for commensal survival. It is maintained by selection for a function that gut colonization alone does not require.</w:t>
      </w:r>
    </w:p>
    <w:p w14:paraId="2670DC80" w14:textId="3A5991FB" w:rsidR="004F0C55" w:rsidRDefault="004F0C55" w:rsidP="004D0185">
      <w:r>
        <w:t xml:space="preserve">Within the </w:t>
      </w:r>
      <w:r w:rsidR="00DD6777">
        <w:t>coevolution</w:t>
      </w:r>
      <w:r>
        <w:t xml:space="preserve">ary framework, this excess capacity has at least two interpretations. First, it supports the later-stage protein substrate utilization described in the fuel priority hierarchy (Craddock, </w:t>
      </w:r>
      <w:r w:rsidR="009B06E6">
        <w:t>2026</w:t>
      </w:r>
      <w:r w:rsidR="00AD76A1">
        <w:t>a</w:t>
      </w:r>
      <w:r w:rsidR="009B06E6">
        <w:t>)</w:t>
      </w:r>
      <w:r>
        <w:t xml:space="preserve">: host amino acids and structural proteins become primary substrates during chronic depletion and terminal phases, and the transport machinery required for that utilization must be maintained even when it is not currently in use. Second, and more speculatively, the peptide importers may function not only as nutrient uptake systems but as environmental sensors, sampling host-derived peptides, including peptide hormones and neuropeptide fragments, as signals indicating host physiological state. An organism with ten dedicated peptide importers, operating in the gut lumen where peptide hormones including GLP-1, CCK, and PYY are actively secreted by enteroendocrine cells, has </w:t>
      </w:r>
      <w:proofErr w:type="gramStart"/>
      <w:r>
        <w:t>the molecular</w:t>
      </w:r>
      <w:proofErr w:type="gramEnd"/>
      <w:r>
        <w:t xml:space="preserve"> hardware to read the host’s peptide signaling environment. Whether it does so </w:t>
      </w:r>
      <w:proofErr w:type="gramStart"/>
      <w:r>
        <w:t>remains</w:t>
      </w:r>
      <w:proofErr w:type="gramEnd"/>
      <w:r>
        <w:t xml:space="preserve"> uncharacterized, but the hardware is confirmed.</w:t>
      </w:r>
    </w:p>
    <w:p w14:paraId="52C7D22C" w14:textId="77777777" w:rsidR="004F0C55" w:rsidRDefault="004F0C55" w:rsidP="004D0185">
      <w:r>
        <w:rPr>
          <w:b/>
          <w:bCs/>
          <w:i/>
          <w:iCs/>
        </w:rPr>
        <w:t xml:space="preserve">Neuropeptide–fungal bidirectional signaling. </w:t>
      </w:r>
      <w:r>
        <w:t>Mammalian neuropeptides, including Substance P, neuropeptide Y (NPY), calcitonin gene-related peptide (CGRP), vasoactive intestinal peptide (VIP), and somatostatin, all signal through GPCRs and play dual roles in fungal infection: they possess direct antimicrobial activity against fungi, but some also enhance fungal virulence by promoting adhesion, invasion, and immune evasion (Augustyniak et al., 2021). This bidirectional relationship falls under the emerging discipline of microbial endocrinology, the recognition that microbes do not passively endure host signaling but intercept and exploit it.</w:t>
      </w:r>
    </w:p>
    <w:p w14:paraId="56D6BA40" w14:textId="77777777" w:rsidR="004F0C55" w:rsidRDefault="004F0C55" w:rsidP="004D0185">
      <w:r>
        <w:lastRenderedPageBreak/>
        <w:t xml:space="preserve">The structural overlap between neuropeptides and antimicrobial peptides is striking. Many neuropeptides share amino acid composition, amphipathic design, cationic charge, and size characteristics with classical antimicrobial peptides (Brogden et al., 2005). The host’s neuropeptide defense system and the fungus’s peptide </w:t>
      </w:r>
      <w:proofErr w:type="gramStart"/>
      <w:r>
        <w:t>import</w:t>
      </w:r>
      <w:proofErr w:type="gramEnd"/>
      <w:r>
        <w:t xml:space="preserve"> and processing apparatus therefore create a bidirectional peptide communication channel that has been under co-selective pressure for the entire span of mammalian evolution. The host fires antimicrobial neuropeptides at the fungus; the fungus imports peptides through its OPT/PTR transporters; the fungus fires back with its own Ece1-derived peptide panel. The ECS model presented in this paper covers the lipid half of this dialogue. The peptide layer is the other half.</w:t>
      </w:r>
    </w:p>
    <w:p w14:paraId="06B4020B" w14:textId="77777777" w:rsidR="004F0C55" w:rsidRDefault="004F0C55" w:rsidP="004D0185">
      <w:r>
        <w:t>A neuroanatomical note connects this to the perfusion architecture described in Section 4.3. The hypothalamus and pituitary stalk are the primary exceptions to the blood-brain barrier; they lack the tight endothelial junctions that exclude blood-borne molecules from brain tissue (Brogden et al., 2005). These are also the brain regions where neuropeptide-mediated immune defense is most critical and where neuropeptide Y-producing cells are concentrated in the olfactory system and other barrier zones (El Karim et al., 2008). If the symbiont is managing pituitary perfusion through the suction mechanism described in this paper, it is operating in the precise anatomical zone where peptide-based host defense and fungal peptide signaling would intersect most directly. The hypothalamic-pituitary axis is not only the perfusion target; it is the peptide-signaling battleground.</w:t>
      </w:r>
    </w:p>
    <w:p w14:paraId="4F477BDF" w14:textId="77777777" w:rsidR="00541D23" w:rsidRDefault="00541D23" w:rsidP="00541D23">
      <w:pPr>
        <w:pStyle w:val="Heading2"/>
      </w:pPr>
      <w:r>
        <w:t>5.5b Extracellular Vesicles: The Logistics of Coordinated Signaling</w:t>
      </w:r>
    </w:p>
    <w:p w14:paraId="0467F534" w14:textId="77777777" w:rsidR="00541D23" w:rsidRDefault="00541D23" w:rsidP="004D0185">
      <w:r>
        <w:t>The preceding sections describe the organism’s signaling repertoire: lipid-soluble compounds that dock with GPCRs, nuclear receptors, and ion channels (Section 5.5); peptides processed through shared Kex2/prohormone convertase machinery that modulate immune receptors, DNA damage pathways, and growth factor signaling (Section 5.5a). Each pathway has been characterized independently, in isolated compound-target experiments. The obvious question is how the organism deploys these signals in coordination inside a living host, where hundreds of metabolites must reach specific cell types in specific combinations at specific times. The answer, increasingly documented in the peer-reviewed literature, is extracellular vesicles.</w:t>
      </w:r>
    </w:p>
    <w:p w14:paraId="2336818B" w14:textId="77777777" w:rsidR="00541D23" w:rsidRDefault="00541D23" w:rsidP="004D0185">
      <w:r>
        <w:rPr>
          <w:b/>
          <w:bCs/>
          <w:i/>
          <w:iCs/>
        </w:rPr>
        <w:t xml:space="preserve">The packaging system. </w:t>
      </w:r>
      <w:r>
        <w:t xml:space="preserve">Extracellular </w:t>
      </w:r>
      <w:proofErr w:type="spellStart"/>
      <w:r>
        <w:t>vesicles</w:t>
      </w:r>
      <w:proofErr w:type="spellEnd"/>
      <w:r>
        <w:t xml:space="preserve"> (EVs) are lipid bilayer-enclosed particles, ranging from 30 nm to over 1 µm in diameter, released by cells across all domains of life. They serve as export and delivery systems, carrying cargo that </w:t>
      </w:r>
      <w:proofErr w:type="gramStart"/>
      <w:r>
        <w:t>includes</w:t>
      </w:r>
      <w:proofErr w:type="gramEnd"/>
      <w:r>
        <w:t xml:space="preserve"> proteins, lipids, nucleic acids, and polysaccharides protected within the membrane envelope (Zarnowski et al., 2018). </w:t>
      </w:r>
      <w:r>
        <w:rPr>
          <w:i/>
          <w:iCs/>
        </w:rPr>
        <w:t>C. albicans</w:t>
      </w:r>
      <w:r>
        <w:t xml:space="preserve"> </w:t>
      </w:r>
      <w:proofErr w:type="gramStart"/>
      <w:r>
        <w:t>produces</w:t>
      </w:r>
      <w:proofErr w:type="gramEnd"/>
      <w:r>
        <w:t xml:space="preserve"> EVs in both planktonic (free-living) and biofilm states. More than 20 fungal species are now known to produce EVs (</w:t>
      </w:r>
      <w:proofErr w:type="spellStart"/>
      <w:r>
        <w:t>Karkowska-Kuleta</w:t>
      </w:r>
      <w:proofErr w:type="spellEnd"/>
      <w:r>
        <w:t xml:space="preserve"> et al., 2025). Unlike free-floating secreted molecules, EV cargo is shielded from enzymatic degradation in the extracellular environment and can be delivered across cellular barriers that individual molecules cannot cross unaided.</w:t>
      </w:r>
    </w:p>
    <w:p w14:paraId="7D146711" w14:textId="77777777" w:rsidR="00541D23" w:rsidRDefault="00541D23" w:rsidP="004D0185">
      <w:r>
        <w:rPr>
          <w:b/>
          <w:bCs/>
          <w:i/>
          <w:iCs/>
        </w:rPr>
        <w:t xml:space="preserve">Morphology-dependent cargo programming. </w:t>
      </w:r>
      <w:r>
        <w:t xml:space="preserve">The organism does not produce a single class of vesicle. Martínez-López et al. (2022) demonstrated that hyphal extracellular vesicles (HEVs) and yeast extracellular vesicles (YEVs) from </w:t>
      </w:r>
      <w:r>
        <w:rPr>
          <w:i/>
          <w:iCs/>
        </w:rPr>
        <w:t>C. albicans</w:t>
      </w:r>
      <w:r>
        <w:t xml:space="preserve"> differ in size, biogenesis, protein diversity, and functional impact on the host. YEVs are larger (400–500 nm), carry primarily cell wall proteins, and serve cell wall maintenance functions; mutant sensitivity to cell wall-disrupting agents is rescued by addition of wild-type YEVs. HEVs are smaller (100–200 nm), carry six-fold greater protein diversity, include cytoplasmic proteins related to intracellular transport and the endosomal sorting complexes required for transport (ESCRT) pathway, and </w:t>
      </w:r>
      <w:r>
        <w:lastRenderedPageBreak/>
        <w:t>produce stronger effects on human immune cells than YEVs. Notably, HEVs carry an active 20S proteasome complex as cargo (Martínez-López et al., 2022), a finding whose functional significance in the host context remains unexplored. Ninety-two percent of YEV proteins were also found in HEVs, but these shared proteins represented only 16% of the HEV cargo, indicating that the hyphal state produces a substantially expanded vesicle payload.</w:t>
      </w:r>
    </w:p>
    <w:p w14:paraId="12C2F283" w14:textId="77777777" w:rsidR="00541D23" w:rsidRDefault="00541D23" w:rsidP="004D0185">
      <w:r>
        <w:t>The morphological transition from yeast to hyphal form, the same transition governed by farnesol-mediated signaling described in Section 5.7, therefore changes not only the organism’s physical form and tissue-invasive capacity but also the composition and functional profile of its vesicle-based delivery system. Commensal yeast-form cells send maintenance vesicles. Tissue-invasive hyphal cells send a weaponized and diversified payload. The shift in vesicle cargo is coupled to the shift in morphological program.</w:t>
      </w:r>
    </w:p>
    <w:p w14:paraId="5BDE3E77" w14:textId="77777777" w:rsidR="00541D23" w:rsidRDefault="00541D23" w:rsidP="004D0185">
      <w:r>
        <w:rPr>
          <w:b/>
          <w:bCs/>
          <w:i/>
          <w:iCs/>
        </w:rPr>
        <w:t xml:space="preserve">Candidalysin delivery. </w:t>
      </w:r>
      <w:r>
        <w:t xml:space="preserve">Noll et al. (2025) demonstrated that </w:t>
      </w:r>
      <w:r>
        <w:rPr>
          <w:i/>
          <w:iCs/>
        </w:rPr>
        <w:t>C. albicans</w:t>
      </w:r>
      <w:r>
        <w:t xml:space="preserve"> biofilm EVs contain </w:t>
      </w:r>
      <w:proofErr w:type="spellStart"/>
      <w:r>
        <w:t>candidalysin</w:t>
      </w:r>
      <w:proofErr w:type="spellEnd"/>
      <w:r>
        <w:t xml:space="preserve"> and can permeabilize planar lipid bilayer membranes in a dose-dependent manner. Biofilm EVs were unable to directly damage oral epithelial cells at tested concentrations but were able to induce cytokine responses, including IL-1α, IL-1β, G-CSF, and GM-CSF. EVs collected from biofilms at 24 hours and 48 hours differed in both cargo composition and their capacity to activate epithelial cells, with earlier EVs delivering </w:t>
      </w:r>
      <w:proofErr w:type="spellStart"/>
      <w:r>
        <w:t>candidalysin</w:t>
      </w:r>
      <w:proofErr w:type="spellEnd"/>
      <w:r>
        <w:t xml:space="preserve"> to the membrane surface and later EVs activating cells through </w:t>
      </w:r>
      <w:proofErr w:type="spellStart"/>
      <w:r>
        <w:t>candidalysin</w:t>
      </w:r>
      <w:proofErr w:type="spellEnd"/>
      <w:r>
        <w:t>-independent mechanisms (Noll et al., 2025). The temporal shift in cargo composition indicates that the organism’s vesicle production is not static; it changes over the course of biofilm maturation, producing functionally distinct vesicle populations at different stages.</w:t>
      </w:r>
    </w:p>
    <w:p w14:paraId="780F41E1" w14:textId="77777777" w:rsidR="00541D23" w:rsidRDefault="00541D23" w:rsidP="004D0185">
      <w:r>
        <w:rPr>
          <w:b/>
          <w:bCs/>
          <w:i/>
          <w:iCs/>
        </w:rPr>
        <w:t xml:space="preserve">Community coordination. </w:t>
      </w:r>
      <w:r>
        <w:t>Zarnowski et al. (2021) used machine-learning analysis of cargo proteomic data from ESCRT-pathway mutants with vesicle production defects to systematically identify functional EV cargo proteins. Of 63 candidate gene products tested through constructed mutant and complemented strains, 17 displayed reduced biofilm matrix accumulation and antifungal drug resistance, and an additional 8 exhibited defects in adhesion or dispersion. Critically, the mutant phenotypes were rescued by addition of wild-type EVs, confirming that the functional effects derive from specific cargo rather than from the vesicle membrane itself. Biofilm EVs are compositionally distinct from planktonic EVs, with 34% of the proteome unique to the biofilm state (Zarnowski et al., 2018). The biofilm’s defining trait, the protective extracellular matrix that confers drug resistance, is coordinated through vesicle-mediated delivery of matrix components.</w:t>
      </w:r>
    </w:p>
    <w:p w14:paraId="7C5F4F18" w14:textId="77777777" w:rsidR="00541D23" w:rsidRDefault="00541D23" w:rsidP="004D0185">
      <w:r>
        <w:t xml:space="preserve">This coordination extends across species. Zarnowski et al. (2022) demonstrated that a set of 36 common cargo proteins is shared among biofilm vesicles across five </w:t>
      </w:r>
      <w:r>
        <w:rPr>
          <w:i/>
          <w:iCs/>
        </w:rPr>
        <w:t>Candida</w:t>
      </w:r>
      <w:r>
        <w:t xml:space="preserve"> species, including the emerging pathogen </w:t>
      </w:r>
      <w:r>
        <w:rPr>
          <w:i/>
          <w:iCs/>
        </w:rPr>
        <w:t>C. auris</w:t>
      </w:r>
      <w:r>
        <w:t xml:space="preserve">. Select cargo mutants showed conserved functional defects across species, and wild-type EVs from one species could complement cargo mutant phenotypes in another. The vesicle proteome endows </w:t>
      </w:r>
      <w:r>
        <w:rPr>
          <w:i/>
          <w:iCs/>
        </w:rPr>
        <w:t>Candida</w:t>
      </w:r>
      <w:r>
        <w:t xml:space="preserve"> species communities with shared properties central to biofilm pathogenicity, enabling interspecies cooperation through a common vesicle language.</w:t>
      </w:r>
    </w:p>
    <w:p w14:paraId="6F6A3D62" w14:textId="77777777" w:rsidR="00541D23" w:rsidRDefault="00541D23" w:rsidP="004D0185">
      <w:r>
        <w:rPr>
          <w:b/>
          <w:bCs/>
          <w:i/>
          <w:iCs/>
        </w:rPr>
        <w:t xml:space="preserve">Host cell internalization. </w:t>
      </w:r>
      <w:r>
        <w:rPr>
          <w:i/>
          <w:iCs/>
        </w:rPr>
        <w:t>C. albicans</w:t>
      </w:r>
      <w:r>
        <w:t xml:space="preserve"> EVs are internalized by human macrophage-like cells (THP-1) through </w:t>
      </w:r>
      <w:proofErr w:type="spellStart"/>
      <w:r>
        <w:t>macropinocytosis</w:t>
      </w:r>
      <w:proofErr w:type="spellEnd"/>
      <w:r>
        <w:t xml:space="preserve"> and phagocytosis (</w:t>
      </w:r>
      <w:proofErr w:type="spellStart"/>
      <w:r>
        <w:t>Karkowska-Kuleta</w:t>
      </w:r>
      <w:proofErr w:type="spellEnd"/>
      <w:r>
        <w:t xml:space="preserve"> et al., 2025). EVs and their cargo act as </w:t>
      </w:r>
      <w:proofErr w:type="spellStart"/>
      <w:r>
        <w:t>chemoattractants</w:t>
      </w:r>
      <w:proofErr w:type="spellEnd"/>
      <w:r>
        <w:t xml:space="preserve"> for blood-derived neutrophils, recruiting immune cells to the vicinity of the fungal population. However, the recruited neutrophils do not activate phagocytosis or neutrophil extracellular </w:t>
      </w:r>
      <w:proofErr w:type="gramStart"/>
      <w:r>
        <w:t>trap</w:t>
      </w:r>
      <w:proofErr w:type="gramEnd"/>
      <w:r>
        <w:t xml:space="preserve"> (NET) release in response to the EVs (</w:t>
      </w:r>
      <w:proofErr w:type="spellStart"/>
      <w:r>
        <w:t>Karkowska-Kuleta</w:t>
      </w:r>
      <w:proofErr w:type="spellEnd"/>
      <w:r>
        <w:t xml:space="preserve"> et al., 2025). The vesicles attract without triggering the kill response. This is consistent with the immune modulation pattern described throughout Section 5: the immune system appears </w:t>
      </w:r>
      <w:r>
        <w:lastRenderedPageBreak/>
        <w:t>active but does not clear the organism. The EV-mediated recruitment without activation represents a vesicle-level implementation of the same strategy achieved molecularly by farnesol’s activation of innate immune markers on monocytes without enhancing fungal uptake or killing (Leonhardt et al., 2015).</w:t>
      </w:r>
    </w:p>
    <w:p w14:paraId="59C1C792" w14:textId="77777777" w:rsidR="00541D23" w:rsidRDefault="00541D23" w:rsidP="004D0185">
      <w:r>
        <w:rPr>
          <w:b/>
          <w:bCs/>
          <w:i/>
          <w:iCs/>
        </w:rPr>
        <w:t xml:space="preserve">Bidirectional vesicle exchange. </w:t>
      </w:r>
      <w:r>
        <w:t xml:space="preserve">The vesicle channel is not unidirectional. Human oral mucosal epithelial cells produce EVs that suppress </w:t>
      </w:r>
      <w:r>
        <w:rPr>
          <w:i/>
          <w:iCs/>
        </w:rPr>
        <w:t>C. albicans</w:t>
      </w:r>
      <w:r>
        <w:t xml:space="preserve"> growth, inhibit hyphal formation, and reduce mucosal invasion both in vitro and in a mouse model of oral candidiasis (Zhang et al., 2022). The host fires defensive vesicles at the fungus; the fungus fires cargo-loaded vesicles at the host. This bidirectional vesicle exchange constitutes a physical logistics channel for the molecular arms race described throughout Section 5, with each side packaging and delivering functional payloads to the other across cellular barriers.</w:t>
      </w:r>
    </w:p>
    <w:p w14:paraId="7A120653" w14:textId="16E8E8D3" w:rsidR="00541D23" w:rsidRDefault="00541D23" w:rsidP="004D0185">
      <w:r>
        <w:rPr>
          <w:b/>
          <w:bCs/>
          <w:i/>
          <w:iCs/>
        </w:rPr>
        <w:t xml:space="preserve">Implications for the </w:t>
      </w:r>
      <w:r w:rsidR="00DD6777">
        <w:rPr>
          <w:b/>
          <w:bCs/>
          <w:i/>
          <w:iCs/>
        </w:rPr>
        <w:t>coevolution</w:t>
      </w:r>
      <w:r>
        <w:rPr>
          <w:b/>
          <w:bCs/>
          <w:i/>
          <w:iCs/>
        </w:rPr>
        <w:t xml:space="preserve">ary framework. </w:t>
      </w:r>
      <w:r>
        <w:t xml:space="preserve">The signaling architecture described in Sections 5.3 through 5.5a, farnesol interacting with nuclear receptors, </w:t>
      </w:r>
      <w:proofErr w:type="spellStart"/>
      <w:r>
        <w:t>candidalysin</w:t>
      </w:r>
      <w:proofErr w:type="spellEnd"/>
      <w:r>
        <w:t xml:space="preserve"> binding platelet receptors, Ece1 peptides docking with immune-inhibitory LILRs, is presented in the literature and in this paper as individual compound-target interactions. Extracellular vesicles provide the mechanism by which these interactions are coordinated in vivo. The organism does not broadcast hundreds of compounds into the extracellular space and rely on diffusion to find the right targets. It packages curated multi-signal payloads into membrane-enclosed vesicles, loads different cargo depending on its morphological state and the maturation stage of its community, and delivers those </w:t>
      </w:r>
      <w:proofErr w:type="gramStart"/>
      <w:r>
        <w:t>vesicles</w:t>
      </w:r>
      <w:proofErr w:type="gramEnd"/>
      <w:r>
        <w:t xml:space="preserve"> to host cells that internalize them through defined uptake pathways. The combinatorial problem that the in vitro caveat (Section 5.6) identifies, how does the organism coordinate hundreds of compounds simultaneously in a living host, is at least partially resolved by the EV delivery system.</w:t>
      </w:r>
    </w:p>
    <w:p w14:paraId="208999A3" w14:textId="77777777" w:rsidR="00541D23" w:rsidRDefault="00541D23" w:rsidP="004D0185">
      <w:r>
        <w:t xml:space="preserve">In the context of the Saline Oscillation Hypothesis, EVs represent the operational logistics of the symbiont’s program. The ECS provides the signaling interface. The peptide panel provides targeted effectors. The </w:t>
      </w:r>
      <w:proofErr w:type="gramStart"/>
      <w:r>
        <w:t>vesicles</w:t>
      </w:r>
      <w:proofErr w:type="gramEnd"/>
      <w:r>
        <w:t xml:space="preserve"> deliver both, together, to the right cells, at the right time, in the right combination. An organism with this delivery capability does not need every molecule to find its target independently. It needs only to load the correct payload and release it. Two hundred million years is sufficient time to refine the loading program.</w:t>
      </w:r>
    </w:p>
    <w:p w14:paraId="019D87B8" w14:textId="77777777" w:rsidR="00541D23" w:rsidRDefault="00541D23" w:rsidP="00541D23">
      <w:pPr>
        <w:pStyle w:val="Heading2"/>
      </w:pPr>
      <w:r>
        <w:t>5.5c Small RNA Cross-Kingdom Signaling: The Third Channel</w:t>
      </w:r>
    </w:p>
    <w:p w14:paraId="136C3CCB" w14:textId="77777777" w:rsidR="00541D23" w:rsidRDefault="00541D23" w:rsidP="004D0185">
      <w:r>
        <w:t xml:space="preserve">The signaling architecture described thus far operates through two molecular classes: lipids and peptides. Each </w:t>
      </w:r>
      <w:proofErr w:type="gramStart"/>
      <w:r>
        <w:t>functions</w:t>
      </w:r>
      <w:proofErr w:type="gramEnd"/>
      <w:r>
        <w:t xml:space="preserve"> through receptor-mediated interactions at the cell surface or within the cell’s cytoplasmic receptor infrastructure. A third class of cross-kingdom signal, small non-coding RNA (sRNA), operates through a fundamentally different mechanism: direct interference with host gene expression at the transcript level. Unlike lipids and peptides, which modulate cellular behavior through receptor signaling cascades, sRNAs can silence specific host genes by hijacking the host’s own RNA interference (RNAi) machinery.</w:t>
      </w:r>
    </w:p>
    <w:p w14:paraId="3A64EBE6" w14:textId="77777777" w:rsidR="00541D23" w:rsidRDefault="00541D23" w:rsidP="004D0185">
      <w:r>
        <w:rPr>
          <w:b/>
          <w:bCs/>
          <w:i/>
          <w:iCs/>
        </w:rPr>
        <w:t xml:space="preserve">Established precedent: fungal small RNAs silence host genes. </w:t>
      </w:r>
      <w:r>
        <w:t xml:space="preserve">The foundational demonstration of cross-kingdom RNAi as a fungal virulence mechanism was published by Weiberg et al. (2013) in </w:t>
      </w:r>
      <w:proofErr w:type="gramStart"/>
      <w:r>
        <w:rPr>
          <w:i/>
          <w:iCs/>
        </w:rPr>
        <w:t>Science</w:t>
      </w:r>
      <w:proofErr w:type="gramEnd"/>
      <w:r>
        <w:t xml:space="preserve">. The aggressive plant pathogen </w:t>
      </w:r>
      <w:r>
        <w:rPr>
          <w:i/>
          <w:iCs/>
        </w:rPr>
        <w:t>Botrytis cinerea</w:t>
      </w:r>
      <w:r>
        <w:t xml:space="preserve"> produces small RNAs (</w:t>
      </w:r>
      <w:proofErr w:type="spellStart"/>
      <w:r>
        <w:t>Bc</w:t>
      </w:r>
      <w:proofErr w:type="spellEnd"/>
      <w:r>
        <w:t xml:space="preserve">-sRNAs) that are transferred into host plant cells during infection, where they bind to Arabidopsis </w:t>
      </w:r>
      <w:proofErr w:type="spellStart"/>
      <w:r>
        <w:t>Argonaute</w:t>
      </w:r>
      <w:proofErr w:type="spellEnd"/>
      <w:r>
        <w:t xml:space="preserve"> 1 (AGO1), the central component of the host’s RNA-induced silencing complex (RISC), and selectively silence host immunity genes including mitogen-activated protein kinases (MPK1, MPK2), a cell wall-associated kinase (WAK), and an oxidative stress gene (PRXIIF). </w:t>
      </w:r>
      <w:r>
        <w:rPr>
          <w:i/>
          <w:iCs/>
        </w:rPr>
        <w:t>B. cinerea</w:t>
      </w:r>
      <w:r>
        <w:t xml:space="preserve"> mutants unable to produce these sRNAs (</w:t>
      </w:r>
      <w:r>
        <w:rPr>
          <w:i/>
          <w:iCs/>
        </w:rPr>
        <w:t>dcl1 dcl2</w:t>
      </w:r>
      <w:r>
        <w:t xml:space="preserve"> double mutants) </w:t>
      </w:r>
      <w:r>
        <w:lastRenderedPageBreak/>
        <w:t xml:space="preserve">displayed reduced pathogenicity. Arabidopsis </w:t>
      </w:r>
      <w:r>
        <w:rPr>
          <w:i/>
          <w:iCs/>
        </w:rPr>
        <w:t>ago1</w:t>
      </w:r>
      <w:r>
        <w:t xml:space="preserve"> mutants, unable to load the fungal sRNAs into RISC, exhibited reduced susceptibility to the pathogen. The mechanism is specific: the fungal sRNAs silence target genes through sequence complementarity, not through generalized toxicity.</w:t>
      </w:r>
    </w:p>
    <w:p w14:paraId="4CBAA5B7" w14:textId="77777777" w:rsidR="00541D23" w:rsidRDefault="00541D23" w:rsidP="004D0185">
      <w:r>
        <w:rPr>
          <w:b/>
          <w:bCs/>
          <w:i/>
          <w:iCs/>
        </w:rPr>
        <w:t xml:space="preserve">Bidirectional RNA trafficking via extracellular vesicles. </w:t>
      </w:r>
      <w:r>
        <w:t xml:space="preserve">Cai et al. (2018) demonstrated in </w:t>
      </w:r>
      <w:proofErr w:type="gramStart"/>
      <w:r>
        <w:rPr>
          <w:i/>
          <w:iCs/>
        </w:rPr>
        <w:t>Science</w:t>
      </w:r>
      <w:proofErr w:type="gramEnd"/>
      <w:r>
        <w:t xml:space="preserve"> that the delivery mechanism for cross-kingdom sRNA transfer is extracellular vesicles. Arabidopsis cells secrete exosome-like EVs that accumulate at fungal infection sites and are taken up by </w:t>
      </w:r>
      <w:r>
        <w:rPr>
          <w:i/>
          <w:iCs/>
        </w:rPr>
        <w:t>B. cinerea</w:t>
      </w:r>
      <w:r>
        <w:t xml:space="preserve"> cells. The host-derived sRNAs within these vesicles induce silencing of fungal genes critical for pathogenicity. </w:t>
      </w:r>
      <w:proofErr w:type="gramStart"/>
      <w:r>
        <w:t>The EVs</w:t>
      </w:r>
      <w:proofErr w:type="gramEnd"/>
      <w:r>
        <w:t xml:space="preserve"> are associated with </w:t>
      </w:r>
      <w:proofErr w:type="spellStart"/>
      <w:r>
        <w:t>tetraspanin</w:t>
      </w:r>
      <w:proofErr w:type="spellEnd"/>
      <w:r>
        <w:t xml:space="preserve"> proteins, which form membrane microdomains that may govern selective cargo loading. The sRNA traffic is bidirectional: the fungus sends sRNAs into the host to suppress immunity, and the host sends sRNAs into the fungus to suppress virulence. Both directions use vesicle-mediated delivery. This establishes EVs as the physical transport layer for cross-kingdom RNA interference, linking the vesicle biology described in Section 5.5b directly to gene-level regulatory warfare.</w:t>
      </w:r>
    </w:p>
    <w:p w14:paraId="2F7446D5" w14:textId="77777777" w:rsidR="00541D23" w:rsidRDefault="00541D23" w:rsidP="004D0185">
      <w:r>
        <w:t xml:space="preserve">Wernecke et al. (2025) further demonstrated that different members of the </w:t>
      </w:r>
      <w:proofErr w:type="spellStart"/>
      <w:r>
        <w:t>Argonaute</w:t>
      </w:r>
      <w:proofErr w:type="spellEnd"/>
      <w:r>
        <w:t xml:space="preserve"> (AGO) protein family in </w:t>
      </w:r>
      <w:r>
        <w:rPr>
          <w:i/>
          <w:iCs/>
        </w:rPr>
        <w:t>B. cinerea</w:t>
      </w:r>
      <w:r>
        <w:t xml:space="preserve"> act in bidirectional cross-kingdom RNAi during infection, with BcAGO2 specifically required for effective delivery of pathogen small RNAs into host cells. A fungal RNA-dependent RNA polymerase (BcRDR1) was identified as a novel pathogenicity factor required for cross-kingdom sRNA production (</w:t>
      </w:r>
      <w:proofErr w:type="spellStart"/>
      <w:r>
        <w:t>Porquier</w:t>
      </w:r>
      <w:proofErr w:type="spellEnd"/>
      <w:r>
        <w:t xml:space="preserve"> et al., 2023). The molecular machinery for cross-kingdom RNAi in fungal pathogens is increasingly well-characterized.</w:t>
      </w:r>
    </w:p>
    <w:p w14:paraId="1ACE1BB1" w14:textId="77777777" w:rsidR="00541D23" w:rsidRDefault="00541D23" w:rsidP="004D0185">
      <w:r>
        <w:rPr>
          <w:b/>
          <w:bCs/>
          <w:i/>
          <w:iCs/>
        </w:rPr>
        <w:t xml:space="preserve">Animal parasite precedent: sRNAs modulate mammalian immunity. </w:t>
      </w:r>
      <w:r>
        <w:t xml:space="preserve">Cross-kingdom sRNA transfer to mammalian cells is not confined to plant systems. The gastrointestinal nematode </w:t>
      </w:r>
      <w:proofErr w:type="spellStart"/>
      <w:r>
        <w:rPr>
          <w:i/>
          <w:iCs/>
        </w:rPr>
        <w:t>Heligmosomoides</w:t>
      </w:r>
      <w:proofErr w:type="spellEnd"/>
      <w:r>
        <w:rPr>
          <w:i/>
          <w:iCs/>
        </w:rPr>
        <w:t xml:space="preserve"> </w:t>
      </w:r>
      <w:proofErr w:type="spellStart"/>
      <w:r>
        <w:rPr>
          <w:i/>
          <w:iCs/>
        </w:rPr>
        <w:t>polygyrus</w:t>
      </w:r>
      <w:proofErr w:type="spellEnd"/>
      <w:r>
        <w:t xml:space="preserve"> secretes exosomes containing microRNAs that are internalized by mammalian cells and suppress host innate immunity (Buck et al., 2014). This establishes that sRNA delivery from a eukaryotic parasite to a mammalian host, with functional gene-silencing consequences, is a demonstrated biological mechanism, not a theoretical extrapolation from plant pathology.</w:t>
      </w:r>
    </w:p>
    <w:p w14:paraId="7009259F" w14:textId="77777777" w:rsidR="00541D23" w:rsidRDefault="00541D23" w:rsidP="004D0185">
      <w:r>
        <w:rPr>
          <w:b/>
          <w:bCs/>
          <w:i/>
          <w:iCs/>
        </w:rPr>
        <w:t xml:space="preserve">RNA cargo in fungal extracellular vesicles. </w:t>
      </w:r>
      <w:r>
        <w:t xml:space="preserve">Fungal EVs carry diverse RNA classes. A comprehensive review of fungal EV RNA content (Peres da Silva et al., 2022) documented that EVs from pathogenic fungi including </w:t>
      </w:r>
      <w:r>
        <w:rPr>
          <w:i/>
          <w:iCs/>
        </w:rPr>
        <w:t>Candida</w:t>
      </w:r>
      <w:r>
        <w:t xml:space="preserve"> species contain mRNAs, tRNA-derived fragments, ribosomal RNA fragments, antisense RNAs, and small non-coding RNAs. In </w:t>
      </w:r>
      <w:r>
        <w:rPr>
          <w:i/>
          <w:iCs/>
        </w:rPr>
        <w:t>Candida auris</w:t>
      </w:r>
      <w:r>
        <w:t xml:space="preserve">, caspofungin treatment altered both the quantity and RNA content of secreted EVs, with tRNA-derived fragments (21–55 nucleotides) comprising the most abundant non-coding RNA class, alongside antisense RNAs and mRNAs encoding translation, nucleosome, and cell wall functions (Peres da Silva et al., 2022). Differentially expressed transcripts in these EVs included QDR3, a drug transport regulator associated with biofilm formation and virulence in </w:t>
      </w:r>
      <w:r>
        <w:rPr>
          <w:i/>
          <w:iCs/>
        </w:rPr>
        <w:t>C. albicans</w:t>
      </w:r>
      <w:r>
        <w:t>, and MP65, encoding a cell wall mannoprotein crucial for biofilm matrix integrity. The RNA cargo is not random cytoplasmic leakage; it shifts in response to environmental conditions, suggesting regulated loading.</w:t>
      </w:r>
    </w:p>
    <w:p w14:paraId="29F53A2D" w14:textId="77777777" w:rsidR="00541D23" w:rsidRDefault="00541D23" w:rsidP="004D0185">
      <w:r>
        <w:t xml:space="preserve">Peres da Silva et al. (2022) compiled evidence that </w:t>
      </w:r>
      <w:proofErr w:type="spellStart"/>
      <w:r>
        <w:t>exonic</w:t>
      </w:r>
      <w:proofErr w:type="spellEnd"/>
      <w:r>
        <w:t xml:space="preserve"> sRNAs contained in fungal EVs regulate carbohydrate, lipid, fatty acid, and amino acid metabolism; vesicle trafficking; signal transduction; protein folding; and nucleic acid biosynthetic processes within fungal populations. A recent study demonstrated that fungal EVs regulate gene expression governing </w:t>
      </w:r>
      <w:r>
        <w:lastRenderedPageBreak/>
        <w:t xml:space="preserve">pathophysiological attributes of </w:t>
      </w:r>
      <w:r>
        <w:rPr>
          <w:i/>
          <w:iCs/>
        </w:rPr>
        <w:t>C. albicans</w:t>
      </w:r>
      <w:r>
        <w:t xml:space="preserve"> itself, confirming that EV-associated RNA is functionally active at minimum within the producing species.</w:t>
      </w:r>
    </w:p>
    <w:p w14:paraId="3FC59C1A" w14:textId="77777777" w:rsidR="00541D23" w:rsidRDefault="00541D23" w:rsidP="004D0185">
      <w:r>
        <w:rPr>
          <w:b/>
          <w:bCs/>
          <w:i/>
          <w:iCs/>
        </w:rPr>
        <w:t xml:space="preserve">The uncharacterized channel. </w:t>
      </w:r>
      <w:r>
        <w:t xml:space="preserve">Whether </w:t>
      </w:r>
      <w:r>
        <w:rPr>
          <w:i/>
          <w:iCs/>
        </w:rPr>
        <w:t>C. albicans</w:t>
      </w:r>
      <w:r>
        <w:t xml:space="preserve"> EV-associated sRNAs silence specific genes in mammalian host cells </w:t>
      </w:r>
      <w:proofErr w:type="gramStart"/>
      <w:r>
        <w:t>has</w:t>
      </w:r>
      <w:proofErr w:type="gramEnd"/>
      <w:r>
        <w:t xml:space="preserve"> not been directly demonstrated. The individual components required for such a mechanism are each independently confirmed: </w:t>
      </w:r>
      <w:r>
        <w:rPr>
          <w:i/>
          <w:iCs/>
        </w:rPr>
        <w:t>C. albicans</w:t>
      </w:r>
      <w:r>
        <w:t xml:space="preserve"> produces EVs containing RNA cargo; these EVs are internalized by human macrophages through </w:t>
      </w:r>
      <w:proofErr w:type="spellStart"/>
      <w:r>
        <w:t>macropinocytosis</w:t>
      </w:r>
      <w:proofErr w:type="spellEnd"/>
      <w:r>
        <w:t xml:space="preserve"> and phagocytosis (</w:t>
      </w:r>
      <w:proofErr w:type="spellStart"/>
      <w:r>
        <w:t>Karkowska-Kuleta</w:t>
      </w:r>
      <w:proofErr w:type="spellEnd"/>
      <w:r>
        <w:t xml:space="preserve"> et al., 2025); mammalian cells possess a functional RNAi machinery including AGO proteins capable of loading exogenous sRNAs; animal parasites have been shown to deliver functional sRNAs to mammalian cells via EVs (Buck et al., 2014); and cross-kingdom RNAi through fungal sRNAs is a demonstrated virulence mechanism in plant-fungal </w:t>
      </w:r>
      <w:proofErr w:type="spellStart"/>
      <w:r>
        <w:t>pathosystems</w:t>
      </w:r>
      <w:proofErr w:type="spellEnd"/>
      <w:r>
        <w:t xml:space="preserve"> (Weiberg et al., 2013). The mechanistic pathway from fungal cell to mammalian gene silencing exists. What has not been shown is that </w:t>
      </w:r>
      <w:r>
        <w:rPr>
          <w:i/>
          <w:iCs/>
        </w:rPr>
        <w:t>C. albicans</w:t>
      </w:r>
      <w:r>
        <w:t xml:space="preserve"> </w:t>
      </w:r>
      <w:proofErr w:type="gramStart"/>
      <w:r>
        <w:t>uses</w:t>
      </w:r>
      <w:proofErr w:type="gramEnd"/>
      <w:r>
        <w:t xml:space="preserve"> it.</w:t>
      </w:r>
    </w:p>
    <w:p w14:paraId="1B025D6D" w14:textId="77777777" w:rsidR="00541D23" w:rsidRDefault="00541D23" w:rsidP="004D0185">
      <w:r>
        <w:rPr>
          <w:b/>
          <w:bCs/>
          <w:i/>
          <w:iCs/>
        </w:rPr>
        <w:t xml:space="preserve">Evolutionary logic of the third channel. </w:t>
      </w:r>
      <w:r>
        <w:t xml:space="preserve">Small RNAs are not conscious signals, intentional communications, or hierarchical controllers. They are molecular regulatory noise that evolution harnessed. A tRNA fragment released in an EV that happened to reduce expression of a host immune gene would confer a survival advantage on the producing cell. Over evolutionary timescales, the loading of such fragments into EVs would become non-random, selected for regulatory impact rather than occurring by chance. This is the same logic by which the paper interprets farnesol’s cross-kingdom activity (Section 5.7): the molecule was not designed to suppress competing fungi and modulate host immunity. Its effects were </w:t>
      </w:r>
      <w:proofErr w:type="gramStart"/>
      <w:r>
        <w:t>selected for</w:t>
      </w:r>
      <w:proofErr w:type="gramEnd"/>
      <w:r>
        <w:t xml:space="preserve"> because they stabilized the niche.</w:t>
      </w:r>
    </w:p>
    <w:p w14:paraId="44C6D91E" w14:textId="77777777" w:rsidR="00541D23" w:rsidRDefault="00541D23" w:rsidP="004D0185">
      <w:r>
        <w:t xml:space="preserve">The three signaling channels, lipids, peptides, and small RNAs, operate on different timescales and at different levels of biological organization. Lipid signaling modulates receptor-mediated tone: the homeostatic set points of the ECS, immune surveillance sensitivity, vascular tone, and metabolic balance. Peptide signaling executes targeted actions: tissue remodeling, immune receptor engagement, DNA damage pathway manipulation. Small RNA signaling, if confirmed in the </w:t>
      </w:r>
      <w:r>
        <w:rPr>
          <w:i/>
          <w:iCs/>
        </w:rPr>
        <w:t>C. albicans</w:t>
      </w:r>
      <w:r>
        <w:t>–mammalian system, would operate at the deepest level: direct modification of host gene expression, tuning the host’s own transcriptional output to favor the symbiont’s program. Each channel acts on different timescales: seconds to minutes for receptor signaling, minutes to hours for peptide-receptor effects and downstream cascades, hours to days for gene expression changes mediated by sRNA silencing. Together, they constitute a layered control architecture spanning from immediate physiological modulation to long-term transcriptional reprogramming.</w:t>
      </w:r>
    </w:p>
    <w:p w14:paraId="1B84286C" w14:textId="77777777" w:rsidR="00541D23" w:rsidRDefault="00541D23" w:rsidP="004D0185">
      <w:r>
        <w:rPr>
          <w:b/>
          <w:bCs/>
          <w:i/>
          <w:iCs/>
        </w:rPr>
        <w:t xml:space="preserve">Host-side surveillance. </w:t>
      </w:r>
      <w:r>
        <w:t xml:space="preserve">If fungal sRNAs or mRNAs enter host cells via EVs, they encounter host-side quality control systems that may function as barriers to cross-kingdom RNA interference. Hia et al. (2026) demonstrated that the RNA helicase DHX29 sits at the A-site entrance of the translating 80S ribosome and monitors aminoacyl-tRNA sampling, detecting nonoptimal codon usage and recruiting the GIGYF2/4EHP complex to suppress mRNAs enriched in nonoptimal codons. </w:t>
      </w:r>
      <w:r>
        <w:rPr>
          <w:i/>
          <w:iCs/>
        </w:rPr>
        <w:t>C. albicans</w:t>
      </w:r>
      <w:r>
        <w:t xml:space="preserve"> uses a dramatically different codon usage bias from the human genome, including its well-documented CUG codon reassignment (serine rather than leucine). Any fungal mRNAs that enter host cells and reach the translational machinery would be flagged by DHX29’s codon surveillance. DHX29 also moonlights as a co-sensor for MDA5-mediated innate immune signaling, enhancing MDA5 recognition of structured RNAs and triggering type I interferon responses (Zhu et al., 2018). A single host protein thus monitors both the translational fidelity and the immunological identity of cytoplasmic RNA, presenting a two-</w:t>
      </w:r>
      <w:r>
        <w:lastRenderedPageBreak/>
        <w:t>layer barrier: translational surveillance of codon optimality and innate immune detection of foreign RNA structure.</w:t>
      </w:r>
    </w:p>
    <w:p w14:paraId="380F6684" w14:textId="7AA539E1" w:rsidR="00541D23" w:rsidRDefault="00541D23" w:rsidP="004D0185">
      <w:r>
        <w:t xml:space="preserve">In the </w:t>
      </w:r>
      <w:r w:rsidR="00DD6777">
        <w:t>coevolution</w:t>
      </w:r>
      <w:r>
        <w:t xml:space="preserve">ary framework, this host-side barrier predicts a symbiont </w:t>
      </w:r>
      <w:proofErr w:type="gramStart"/>
      <w:r>
        <w:t>counter-adaptation</w:t>
      </w:r>
      <w:proofErr w:type="gramEnd"/>
      <w:r>
        <w:t xml:space="preserve">: evolutionary optimization of exported RNA sequences to pass both the DHX29 codon screen and the MDA5 structural screen. This is testable. Comparison of the codon usage profiles of </w:t>
      </w:r>
      <w:r>
        <w:rPr>
          <w:i/>
          <w:iCs/>
        </w:rPr>
        <w:t>C. albicans</w:t>
      </w:r>
      <w:r>
        <w:t xml:space="preserve"> secreted and exported transcripts, particularly Ece1 and other transcripts detected in EV cargo, against the human codon optimality landscape should reveal whether these transcripts are more human-optimized than the remainder of the </w:t>
      </w:r>
      <w:r>
        <w:rPr>
          <w:i/>
          <w:iCs/>
        </w:rPr>
        <w:t>Candida</w:t>
      </w:r>
      <w:r>
        <w:t xml:space="preserve"> transcriptome. If they are, this constitutes evidence of </w:t>
      </w:r>
      <w:r w:rsidR="00DD6777">
        <w:t>coevolution</w:t>
      </w:r>
      <w:r>
        <w:t xml:space="preserve">ary selection at the codon level: the organism </w:t>
      </w:r>
      <w:proofErr w:type="gramStart"/>
      <w:r>
        <w:t>tuning</w:t>
      </w:r>
      <w:proofErr w:type="gramEnd"/>
      <w:r>
        <w:t xml:space="preserve"> its exported RNA to pass the host’s quality control.</w:t>
      </w:r>
    </w:p>
    <w:p w14:paraId="770E3D35" w14:textId="77777777" w:rsidR="005F30F3" w:rsidRDefault="00541D23" w:rsidP="004D0185">
      <w:r>
        <w:rPr>
          <w:b/>
          <w:bCs/>
          <w:i/>
          <w:iCs/>
        </w:rPr>
        <w:t xml:space="preserve">Internal RNA transport infrastructure. </w:t>
      </w:r>
      <w:r>
        <w:rPr>
          <w:i/>
          <w:iCs/>
        </w:rPr>
        <w:t>C. albicans</w:t>
      </w:r>
      <w:r>
        <w:t xml:space="preserve"> already possesses a dedicated internal RNA trafficking system. Elson et al. (2009) identified a She3-dependent mRNA transport mechanism that selectively transports 40 mRNAs to yeast buds and to the tips of growing hyphae, where secretion is concentrated through the </w:t>
      </w:r>
      <w:proofErr w:type="spellStart"/>
      <w:r>
        <w:t>Spitzenkörper</w:t>
      </w:r>
      <w:proofErr w:type="spellEnd"/>
      <w:r>
        <w:t xml:space="preserve"> vesicle cluster. The cargo mRNAs have diverged substantially from those of </w:t>
      </w:r>
      <w:r>
        <w:rPr>
          <w:i/>
          <w:iCs/>
        </w:rPr>
        <w:t>S. cerevisiae</w:t>
      </w:r>
      <w:r>
        <w:t xml:space="preserve">, and many encode genes that contribute to hyphal development and host tissue invasion. The authors note that specific mRNAs can move in and out of transport control over evolutionary timescales, indicating that the RNA targeting system is </w:t>
      </w:r>
      <w:proofErr w:type="gramStart"/>
      <w:r>
        <w:t>evolutionarily</w:t>
      </w:r>
      <w:proofErr w:type="gramEnd"/>
      <w:r>
        <w:t xml:space="preserve"> plastic. An organism that already targets specific </w:t>
      </w:r>
      <w:proofErr w:type="gramStart"/>
      <w:r>
        <w:t>mRNAs</w:t>
      </w:r>
      <w:proofErr w:type="gramEnd"/>
      <w:r>
        <w:t xml:space="preserve"> to the subcellular location where secretory vesicles are produced has the molecular infrastructure to load specific RNAs into extracellular vesicles. The step from intracellular RNA targeting to extracellular RNA delivery is not a large one; it requires only that the She3-dependent or analogous cargo be routed to the EV biogenesis pathway rather than exclusively to internal translation.</w:t>
      </w:r>
    </w:p>
    <w:p w14:paraId="784F235F" w14:textId="77777777" w:rsidR="005F30F3" w:rsidRDefault="005F30F3" w:rsidP="005F30F3">
      <w:pPr>
        <w:pStyle w:val="Heading2"/>
      </w:pPr>
      <w:r>
        <w:t>5.5d Oxylipin Mimicry: Prostaglandin Production and the Shared Arachidonic Acid Economy</w:t>
      </w:r>
    </w:p>
    <w:p w14:paraId="0F0CDCF0" w14:textId="77777777" w:rsidR="005F30F3" w:rsidRDefault="005F30F3" w:rsidP="004D0185">
      <w:r>
        <w:t xml:space="preserve">The lipid signaling architecture described in Section 5.5 centers on farnesol, a sesquiterpene alcohol that interacts with host GPCRs, nuclear receptors, ion channels, and neurotransmitter receptors. Farnesol is synthesized endogenously by </w:t>
      </w:r>
      <w:r>
        <w:rPr>
          <w:i/>
          <w:iCs/>
        </w:rPr>
        <w:t>C. albicans</w:t>
      </w:r>
      <w:r>
        <w:t xml:space="preserve"> from the mevalonate pathway, using the organism’s own metabolic precursors. A second class of lipid-mediated host manipulation operates through a fundamentally different supply chain: the organism takes a precursor from the host and manufactures a molecule structurally identical to one of the host’s own inflammatory mediators, then deploys it to reshape the immune landscape in its favor.</w:t>
      </w:r>
    </w:p>
    <w:p w14:paraId="7B84AC8A" w14:textId="77777777" w:rsidR="005F30F3" w:rsidRDefault="005F30F3" w:rsidP="004D0185">
      <w:r>
        <w:rPr>
          <w:b/>
          <w:bCs/>
          <w:i/>
          <w:iCs/>
        </w:rPr>
        <w:t xml:space="preserve">Authentic prostaglandin production from host-derived substrate. </w:t>
      </w:r>
      <w:r>
        <w:t xml:space="preserve">Erb-Downward and </w:t>
      </w:r>
      <w:proofErr w:type="spellStart"/>
      <w:r>
        <w:t>Noverr</w:t>
      </w:r>
      <w:proofErr w:type="spellEnd"/>
      <w:r>
        <w:t xml:space="preserve"> (2007), using liquid chromatography–tandem mass spectrometry, demonstrated that </w:t>
      </w:r>
      <w:r>
        <w:rPr>
          <w:i/>
          <w:iCs/>
        </w:rPr>
        <w:t>C. albicans</w:t>
      </w:r>
      <w:r>
        <w:t xml:space="preserve"> produces authentic prostaglandin E₂ (PGE₂) from arachidonic acid (AA). The mass spectrometric fragmentation pattern of the fungal product was identical to that of a purified PGE₂ standard, confirming structural identity rather than mere cross-reactivity. Maximal PGE₂ production occurred at 37°C in stationary-phase cultures, conditions mimicking the host internal environment. Earlier work by </w:t>
      </w:r>
      <w:proofErr w:type="spellStart"/>
      <w:r>
        <w:t>Noverr</w:t>
      </w:r>
      <w:proofErr w:type="spellEnd"/>
      <w:r>
        <w:t xml:space="preserve"> et al. (2001) had identified a PGE cross-reactive compound (</w:t>
      </w:r>
      <w:proofErr w:type="spellStart"/>
      <w:r>
        <w:t>PGEx</w:t>
      </w:r>
      <w:proofErr w:type="spellEnd"/>
      <w:r>
        <w:t xml:space="preserve">) in </w:t>
      </w:r>
      <w:r>
        <w:rPr>
          <w:i/>
          <w:iCs/>
        </w:rPr>
        <w:t>Candida</w:t>
      </w:r>
      <w:r>
        <w:t xml:space="preserve"> supernatants that was biologically active on mammalian cells, and the mass spectrometric characterization confirmed that this compound is authentic PGE₂.</w:t>
      </w:r>
    </w:p>
    <w:p w14:paraId="2BDC23AB" w14:textId="77777777" w:rsidR="005F30F3" w:rsidRDefault="005F30F3" w:rsidP="004D0185">
      <w:r>
        <w:t xml:space="preserve">The biosynthetic pathway is unusual. </w:t>
      </w:r>
      <w:r>
        <w:rPr>
          <w:i/>
          <w:iCs/>
        </w:rPr>
        <w:t>C. albicans</w:t>
      </w:r>
      <w:r>
        <w:t xml:space="preserve"> does not possess a cyclooxygenase (COX) homolog, the enzyme family responsible for prostaglandin synthesis in mammalian cells (Erb-Downward and </w:t>
      </w:r>
      <w:proofErr w:type="spellStart"/>
      <w:r>
        <w:t>Noverr</w:t>
      </w:r>
      <w:proofErr w:type="spellEnd"/>
      <w:r>
        <w:t xml:space="preserve">, 2007). Yet PGE₂ production is inhibited by both nonspecific </w:t>
      </w:r>
      <w:r>
        <w:lastRenderedPageBreak/>
        <w:t xml:space="preserve">cyclooxygenase inhibitors and lipoxygenase inhibitors. A fatty acid desaturase homolog (Ole2) and a multicopper oxidase homolog (Fet3) were identified as playing roles in the biosynthetic process, with </w:t>
      </w:r>
      <w:r>
        <w:rPr>
          <w:i/>
          <w:iCs/>
        </w:rPr>
        <w:t>ole2/ole2</w:t>
      </w:r>
      <w:r>
        <w:t xml:space="preserve"> and </w:t>
      </w:r>
      <w:r>
        <w:rPr>
          <w:i/>
          <w:iCs/>
        </w:rPr>
        <w:t>fet3/fet3</w:t>
      </w:r>
      <w:r>
        <w:t xml:space="preserve"> mutants exhibiting reduced PGE₂ levels. The organism has evolved an independent enzymatic route to the same product that the host produces through COX enzymes. This is convergent biochemistry at the product level with divergent machinery at the enzyme level, a pattern consistent with selection for the end product’s functional utility rather than conservation of the biosynthetic pathway itself.</w:t>
      </w:r>
    </w:p>
    <w:p w14:paraId="37512293" w14:textId="77777777" w:rsidR="005F30F3" w:rsidRDefault="005F30F3" w:rsidP="004D0185">
      <w:r>
        <w:rPr>
          <w:b/>
          <w:bCs/>
          <w:i/>
          <w:iCs/>
        </w:rPr>
        <w:t xml:space="preserve">Precursor acquisition from the host. </w:t>
      </w:r>
      <w:r>
        <w:rPr>
          <w:i/>
          <w:iCs/>
        </w:rPr>
        <w:t>C. albicans</w:t>
      </w:r>
      <w:r>
        <w:t xml:space="preserve"> does not contain arachidonic acid as part of its endogenous fatty acid repertoire (Erb-Downward and </w:t>
      </w:r>
      <w:proofErr w:type="spellStart"/>
      <w:r>
        <w:t>Noverr</w:t>
      </w:r>
      <w:proofErr w:type="spellEnd"/>
      <w:r>
        <w:t xml:space="preserve">, 2007). The organism obtains its AA precursor from the host. During infection, </w:t>
      </w:r>
      <w:r>
        <w:rPr>
          <w:i/>
          <w:iCs/>
        </w:rPr>
        <w:t>C. albicans</w:t>
      </w:r>
      <w:r>
        <w:t xml:space="preserve"> causes the release of arachidonic acid from host cell membrane phospholipids, which then serves both as a carbon source for yeast growth and as the precursor for prostaglandin biosynthesis (Deva et al., 2000; Agarwal et al., 2014). Supplementation of </w:t>
      </w:r>
      <w:r>
        <w:rPr>
          <w:i/>
          <w:iCs/>
        </w:rPr>
        <w:t>C. albicans</w:t>
      </w:r>
      <w:r>
        <w:t xml:space="preserve"> cultures with exogenous AA significantly increases PGE₂ production (</w:t>
      </w:r>
      <w:proofErr w:type="spellStart"/>
      <w:r>
        <w:t>Noverr</w:t>
      </w:r>
      <w:proofErr w:type="spellEnd"/>
      <w:r>
        <w:t xml:space="preserve"> et al., 2001). Biofilm-forming </w:t>
      </w:r>
      <w:r>
        <w:rPr>
          <w:i/>
          <w:iCs/>
        </w:rPr>
        <w:t>C. albicans</w:t>
      </w:r>
      <w:r>
        <w:t xml:space="preserve"> produces substantially more prostaglandin than planktonic cells, and oxylipin production is upregulated during biofilm formation (Alem and Douglas, 2005; Erb-Downward and </w:t>
      </w:r>
      <w:proofErr w:type="spellStart"/>
      <w:r>
        <w:t>Noverr</w:t>
      </w:r>
      <w:proofErr w:type="spellEnd"/>
      <w:r>
        <w:t>, 2007).</w:t>
      </w:r>
    </w:p>
    <w:p w14:paraId="3EA837DF" w14:textId="77777777" w:rsidR="005F30F3" w:rsidRDefault="005F30F3" w:rsidP="004D0185">
      <w:r>
        <w:t xml:space="preserve">The supply chain is therefore: the organism damages host cell membranes (through </w:t>
      </w:r>
      <w:proofErr w:type="spellStart"/>
      <w:r>
        <w:t>candidalysin</w:t>
      </w:r>
      <w:proofErr w:type="spellEnd"/>
      <w:r>
        <w:t xml:space="preserve"> pore formation, SAP-mediated digestion, or physical hyphal penetration), arachidonic acid is released from the damaged membrane phospholipids, the organism imports </w:t>
      </w:r>
      <w:proofErr w:type="gramStart"/>
      <w:r>
        <w:t>it, and</w:t>
      </w:r>
      <w:proofErr w:type="gramEnd"/>
      <w:r>
        <w:t xml:space="preserve"> converts it into a molecule indistinguishable from the host’s own primary inflammatory prostaglandin. The raw material comes from the host. The manufacturing is done by the fungus. The product is deployed back against the host’s immune system.</w:t>
      </w:r>
    </w:p>
    <w:p w14:paraId="56743104" w14:textId="77777777" w:rsidR="005F30F3" w:rsidRDefault="005F30F3" w:rsidP="004D0185">
      <w:r>
        <w:rPr>
          <w:b/>
          <w:bCs/>
          <w:i/>
          <w:iCs/>
        </w:rPr>
        <w:t xml:space="preserve">Immune polarization through molecular mimicry. </w:t>
      </w:r>
      <w:r>
        <w:t>The immunological consequences of fungal PGE₂ production are specific and directional. PGE₂, whether host-derived or fungal, promotes Th2-type immune responses and suppresses Th1-type responses (</w:t>
      </w:r>
      <w:proofErr w:type="spellStart"/>
      <w:r>
        <w:t>Noverr</w:t>
      </w:r>
      <w:proofErr w:type="spellEnd"/>
      <w:r>
        <w:t xml:space="preserve"> et al., 2001; Kundu and </w:t>
      </w:r>
      <w:proofErr w:type="spellStart"/>
      <w:r>
        <w:t>Noverr</w:t>
      </w:r>
      <w:proofErr w:type="spellEnd"/>
      <w:r>
        <w:t xml:space="preserve">, 2011). In the context of </w:t>
      </w:r>
      <w:r>
        <w:rPr>
          <w:i/>
          <w:iCs/>
        </w:rPr>
        <w:t>Candida</w:t>
      </w:r>
      <w:r>
        <w:t xml:space="preserve"> infection, Th1 responses are protective and lead to fungal clearance, while Th2 responses are non-protective and promote chronic or disseminating disease (</w:t>
      </w:r>
      <w:proofErr w:type="spellStart"/>
      <w:r>
        <w:t>Noverr</w:t>
      </w:r>
      <w:proofErr w:type="spellEnd"/>
      <w:r>
        <w:t xml:space="preserve"> et al., 2001). The organism produces the exact molecule that shifts the host’s immune response from the profile that would clear the infection to the profile that permits persistence.</w:t>
      </w:r>
    </w:p>
    <w:p w14:paraId="42893979" w14:textId="77777777" w:rsidR="005F30F3" w:rsidRDefault="005F30F3" w:rsidP="004D0185">
      <w:r>
        <w:t xml:space="preserve">Kundu and </w:t>
      </w:r>
      <w:proofErr w:type="spellStart"/>
      <w:r>
        <w:t>Noverr</w:t>
      </w:r>
      <w:proofErr w:type="spellEnd"/>
      <w:r>
        <w:t xml:space="preserve"> (2011) demonstrated this directly using dendritic cell immunization models. Bone marrow-derived dendritic cells pulsed with </w:t>
      </w:r>
      <w:r>
        <w:rPr>
          <w:i/>
          <w:iCs/>
        </w:rPr>
        <w:t>C. albicans</w:t>
      </w:r>
      <w:r>
        <w:t xml:space="preserve"> yeast cells could protect mice against systemic infection. However, exposure to either host PGE₂ or fungal PGE₂ during the antigenic stimulation period abrogated the protective effect entirely. In the presence of hyphae, PGE₂ promoted Th2 cytokine production (IL-4, IL-10) and suppressed Th1 cytokine production (IL-12). The fungal PGE₂ was functionally interchangeable with host PGE₂ in blocking protective immunity. This is molecular mimicry in the most literal sense: the host’s immune system cannot distinguish the fungal product from its own.</w:t>
      </w:r>
    </w:p>
    <w:p w14:paraId="256EBAB0" w14:textId="77777777" w:rsidR="005F30F3" w:rsidRDefault="005F30F3" w:rsidP="004D0185">
      <w:r>
        <w:t>The broader biological activity of the fungal PGE₂ on mammalian cells includes inhibition of splenocyte proliferation, suppression of TNFα production, and stimulation of IL-10 secretion (</w:t>
      </w:r>
      <w:proofErr w:type="spellStart"/>
      <w:r>
        <w:t>Noverr</w:t>
      </w:r>
      <w:proofErr w:type="spellEnd"/>
      <w:r>
        <w:t xml:space="preserve"> et al., 2001). IL-10 is an anti-inflammatory cytokine that dampens immune surveillance. TNFα is a proinflammatory cytokine critical for antifungal defense. The organism’s prostaglandin output simultaneously suppresses what would kill it and amplifies what protects it.</w:t>
      </w:r>
    </w:p>
    <w:p w14:paraId="23FCC2B6" w14:textId="77777777" w:rsidR="005F30F3" w:rsidRDefault="005F30F3" w:rsidP="004D0185">
      <w:r>
        <w:rPr>
          <w:b/>
          <w:bCs/>
          <w:i/>
          <w:iCs/>
        </w:rPr>
        <w:t xml:space="preserve">Autocrine morphological feedback. </w:t>
      </w:r>
      <w:r>
        <w:t xml:space="preserve">The fungal PGE₂ does not act exclusively on the host. Both fungal </w:t>
      </w:r>
      <w:proofErr w:type="spellStart"/>
      <w:r>
        <w:t>PGEx</w:t>
      </w:r>
      <w:proofErr w:type="spellEnd"/>
      <w:r>
        <w:t xml:space="preserve"> and synthetic PGE₂ enhance the yeast-to-hyphal morphological transition in </w:t>
      </w:r>
      <w:r>
        <w:rPr>
          <w:i/>
          <w:iCs/>
        </w:rPr>
        <w:t>C. albicans</w:t>
      </w:r>
      <w:r>
        <w:t xml:space="preserve"> (</w:t>
      </w:r>
      <w:proofErr w:type="spellStart"/>
      <w:r>
        <w:t>Noverr</w:t>
      </w:r>
      <w:proofErr w:type="spellEnd"/>
      <w:r>
        <w:t xml:space="preserve"> et al., 2001; </w:t>
      </w:r>
      <w:proofErr w:type="spellStart"/>
      <w:r>
        <w:t>Noverr</w:t>
      </w:r>
      <w:proofErr w:type="spellEnd"/>
      <w:r>
        <w:t xml:space="preserve"> and Huffnagle, 2004). Mammalian </w:t>
      </w:r>
      <w:r>
        <w:lastRenderedPageBreak/>
        <w:t xml:space="preserve">eicosanoid inhibitors also inhibit </w:t>
      </w:r>
      <w:r>
        <w:rPr>
          <w:i/>
          <w:iCs/>
        </w:rPr>
        <w:t>C. albicans</w:t>
      </w:r>
      <w:r>
        <w:t xml:space="preserve"> oxylipin production, morphogenesis, and biofilm formation (</w:t>
      </w:r>
      <w:proofErr w:type="spellStart"/>
      <w:r>
        <w:t>Noverr</w:t>
      </w:r>
      <w:proofErr w:type="spellEnd"/>
      <w:r>
        <w:t xml:space="preserve"> and Huffnagle, 2004; Erb-Downward and </w:t>
      </w:r>
      <w:proofErr w:type="spellStart"/>
      <w:r>
        <w:t>Noverr</w:t>
      </w:r>
      <w:proofErr w:type="spellEnd"/>
      <w:r>
        <w:t>, 2007). The prostaglandin output thus serves a dual function: it modulates the host immune response externally and feeds back into the organism’s own morphological program internally. The same molecule that suppresses host Th1 immunity promotes the hyphal form that enables tissue invasion. One product, two targets, coordinated effect.</w:t>
      </w:r>
    </w:p>
    <w:p w14:paraId="32C6929D" w14:textId="77777777" w:rsidR="005F30F3" w:rsidRDefault="005F30F3" w:rsidP="004D0185">
      <w:r>
        <w:rPr>
          <w:b/>
          <w:bCs/>
          <w:i/>
          <w:iCs/>
        </w:rPr>
        <w:t xml:space="preserve">Conservation across Candida species. </w:t>
      </w:r>
      <w:r>
        <w:t xml:space="preserve">Prostaglandin production from exogenous arachidonic acid is not unique to </w:t>
      </w:r>
      <w:r>
        <w:rPr>
          <w:i/>
          <w:iCs/>
        </w:rPr>
        <w:t>C. albicans</w:t>
      </w:r>
      <w:r>
        <w:t xml:space="preserve">. Toth et al. (2015) characterized the prostaglandin profiles of </w:t>
      </w:r>
      <w:r>
        <w:rPr>
          <w:i/>
          <w:iCs/>
        </w:rPr>
        <w:t xml:space="preserve">C. </w:t>
      </w:r>
      <w:proofErr w:type="spellStart"/>
      <w:r>
        <w:rPr>
          <w:i/>
          <w:iCs/>
        </w:rPr>
        <w:t>parapsilosis</w:t>
      </w:r>
      <w:proofErr w:type="spellEnd"/>
      <w:r>
        <w:t xml:space="preserve"> and </w:t>
      </w:r>
      <w:r>
        <w:rPr>
          <w:i/>
          <w:iCs/>
        </w:rPr>
        <w:t>C. albicans</w:t>
      </w:r>
      <w:r>
        <w:t xml:space="preserve"> using HPLC-MS and found that both species synthesize PGD₂ and PGE₂ as their primary products, along with compounds from other prostaglandin classes (PGH₂, PGF₂β, PGA₂). Agarwal et al. (2014) demonstrated that </w:t>
      </w:r>
      <w:r>
        <w:rPr>
          <w:i/>
          <w:iCs/>
        </w:rPr>
        <w:t>C. tropicalis</w:t>
      </w:r>
      <w:r>
        <w:t xml:space="preserve">, </w:t>
      </w:r>
      <w:r>
        <w:rPr>
          <w:i/>
          <w:iCs/>
        </w:rPr>
        <w:t>C. glabrata</w:t>
      </w:r>
      <w:r>
        <w:t xml:space="preserve">, and </w:t>
      </w:r>
      <w:r>
        <w:rPr>
          <w:i/>
          <w:iCs/>
        </w:rPr>
        <w:t xml:space="preserve">C. </w:t>
      </w:r>
      <w:proofErr w:type="spellStart"/>
      <w:r>
        <w:rPr>
          <w:i/>
          <w:iCs/>
        </w:rPr>
        <w:t>parapsilosis</w:t>
      </w:r>
      <w:proofErr w:type="spellEnd"/>
      <w:r>
        <w:t xml:space="preserve"> all produce PGE₂ from exogenous AA, with production enhanced during biofilm formation and in the presence of subinhibitory antifungal concentrations. Strydom et al. (2010) confirmed PGE₂ production in </w:t>
      </w:r>
      <w:r>
        <w:rPr>
          <w:i/>
          <w:iCs/>
        </w:rPr>
        <w:t xml:space="preserve">C. </w:t>
      </w:r>
      <w:proofErr w:type="spellStart"/>
      <w:r>
        <w:rPr>
          <w:i/>
          <w:iCs/>
        </w:rPr>
        <w:t>dubliniensis</w:t>
      </w:r>
      <w:proofErr w:type="spellEnd"/>
      <w:r>
        <w:t xml:space="preserve"> biofilms, the closest relative of </w:t>
      </w:r>
      <w:r>
        <w:rPr>
          <w:i/>
          <w:iCs/>
        </w:rPr>
        <w:t>C. albicans</w:t>
      </w:r>
      <w:r>
        <w:t xml:space="preserve">. The conservation of prostaglandin production capacity across the pathogenic </w:t>
      </w:r>
      <w:r>
        <w:rPr>
          <w:i/>
          <w:iCs/>
        </w:rPr>
        <w:t>Candida</w:t>
      </w:r>
      <w:r>
        <w:t xml:space="preserve"> clade, using host-derived arachidonic acid as substrate, is consistent with selection for this capability as a host-interaction trait rather than an incidental metabolic byproduct.</w:t>
      </w:r>
    </w:p>
    <w:p w14:paraId="06F36A5A" w14:textId="7F07EE26" w:rsidR="005F30F3" w:rsidRDefault="005F30F3" w:rsidP="004D0185">
      <w:r>
        <w:rPr>
          <w:b/>
          <w:bCs/>
          <w:i/>
          <w:iCs/>
        </w:rPr>
        <w:t xml:space="preserve">The shared arachidonic acid economy and the endocannabinoid connection. </w:t>
      </w:r>
      <w:r>
        <w:t xml:space="preserve">This section’s findings converge with the central argument of this paper through a single biochemical fact: </w:t>
      </w:r>
      <w:r w:rsidRPr="005F30F3">
        <w:t xml:space="preserve">arachidonic acid is the shared precursor for both the prostaglandin/eicosanoid pathway and the endocannabinoid system. The two primary endocannabinoids, anandamide and 2-AG, are both synthesized from membrane-bound arachidonic acid-containing phospholipids (Sugiura and Waku, 2002; Di Marzo, 2006). Prostaglandins are synthesized from free arachidonic acid released from the same phospholipid pool by phospholipase A₂. Moreover, COX-2 can directly oxygenate 2-AG to yield prostaglandin glyceryl esters (Di Marzo, 2006), and the hydrolysis of both endocannabinoids regenerates free arachidonic acid that can be diverted into eicosanoid production (Di Marzo and De </w:t>
      </w:r>
      <w:proofErr w:type="spellStart"/>
      <w:r w:rsidRPr="005F30F3">
        <w:t>Petrocellis</w:t>
      </w:r>
      <w:proofErr w:type="spellEnd"/>
      <w:r w:rsidRPr="005F30F3">
        <w:t>, 2006). The two pathways do not merely share a precursor pool; they share processing enzymes and recycling intermediates.</w:t>
      </w:r>
    </w:p>
    <w:p w14:paraId="4343C5F4" w14:textId="77777777" w:rsidR="005F30F3" w:rsidRDefault="005F30F3" w:rsidP="004D0185">
      <w:r>
        <w:t>The host’s arachidonic acid pool therefore feeds three competing biosynthetic demands: the host’s own prostaglandin/eicosanoid production (inflammation, vascular tone, immune regulation), the host’s own endocannabinoid production (homeostatic regulation via CB1 and CB2), and the symbiont’s prostaglandin production (immune polarization toward the non-protective Th2 profile, morphological feedback into the hyphal program). The organism does not merely interact with the ECS through receptor-level signaling, as described in Section 5.5. It competes directly with the host’s endocannabinoid biosynthesis for shared arachidonic acid substrate. When the organism diverts host-released arachidonic acid into fungal PGE₂ production, that arachidonic acid is no longer available for anandamide or 2-AG synthesis.</w:t>
      </w:r>
    </w:p>
    <w:p w14:paraId="1A0DF184" w14:textId="77777777" w:rsidR="005F30F3" w:rsidRDefault="005F30F3" w:rsidP="004D0185">
      <w:r>
        <w:t>This creates a metabolic triangle in which the organism can modulate both the inflammatory tone (through PGE₂ output) and the endocannabinoid tone (through substrate competition) of the local tissue environment simultaneously, using a single precursor it obtains by damaging host membranes. The ECS trunk described in this paper and the prostaglandin branch described here are not separate signaling systems. They are two outputs of a shared lipid economy that the organism has inserted itself into. The lipid signaling architecture is not a tree with independent branches. It is a root system fed by a common pool, and the organism sits at the junction.</w:t>
      </w:r>
    </w:p>
    <w:p w14:paraId="23F7208F" w14:textId="75A29BE7" w:rsidR="005F30F3" w:rsidRDefault="005F30F3" w:rsidP="004D0185">
      <w:r>
        <w:rPr>
          <w:b/>
          <w:bCs/>
          <w:i/>
          <w:iCs/>
        </w:rPr>
        <w:lastRenderedPageBreak/>
        <w:t xml:space="preserve">Framework integration. </w:t>
      </w:r>
      <w:r w:rsidR="007D53A1" w:rsidRPr="007D53A1">
        <w:t xml:space="preserve">The oxylipin capability adds a fourth mechanism to the organism's immune modulation toolkit, alongside farnesol-mediated dendritic cell suppression (Section 5.5), </w:t>
      </w:r>
      <w:proofErr w:type="spellStart"/>
      <w:r w:rsidR="007D53A1" w:rsidRPr="007D53A1">
        <w:t>candidalysin</w:t>
      </w:r>
      <w:proofErr w:type="spellEnd"/>
      <w:r w:rsidR="007D53A1" w:rsidRPr="007D53A1">
        <w:t xml:space="preserve">-driven immune polarization (Section 5.5a), and the Ece1 peptide panel's LILR-mediated immune inhibition (Section 5.5a). A fifth operates through the cell wall itself: alpha-mannan and beta-glucan surface structures trigger mast cell degranulation and stimulate arachidonic acid release from macrophages through mannose receptor and dectin-1 engagement (Castro et al., 1994), activating innate inflammatory cascades whose downstream outputs are then redirected toward the non-protective Th2 profile by the prostaglandin and farnesol mechanisms described above. Each of the five mechanisms operates through a different molecular class and a different receptor system. Farnesol suppresses via nuclear receptor activation and GABA-A modulation. Candidalysin polarizes through EGFR and platelet receptor engagement. The Ece1 peptides inhibit through LILR binding. Fungal PGE₂ shifts the Th1/Th2 balance through the same </w:t>
      </w:r>
      <w:proofErr w:type="spellStart"/>
      <w:r w:rsidR="007D53A1" w:rsidRPr="007D53A1">
        <w:t>prostanoid</w:t>
      </w:r>
      <w:proofErr w:type="spellEnd"/>
      <w:r w:rsidR="007D53A1" w:rsidRPr="007D53A1">
        <w:t xml:space="preserve"> receptors (EP1–EP4) that the host's own PGE₂ engages. Cell wall glycans activate innate pattern recognition receptors (mannose receptor, dectin-1, TLR4) to trigger degranulation and substrate release. Five molecular classes, five receptor systems, one coordinated outcome: an immune environment that appears active but does not clear the organism.</w:t>
      </w:r>
    </w:p>
    <w:p w14:paraId="40688638" w14:textId="2ABD54C5" w:rsidR="007D53A1" w:rsidRDefault="007D53A1" w:rsidP="004D0185">
      <w:r w:rsidRPr="007D53A1">
        <w:t xml:space="preserve">The organism also modulates host tryptophan metabolism. </w:t>
      </w:r>
      <w:r w:rsidRPr="007D53A1">
        <w:rPr>
          <w:i/>
          <w:iCs/>
        </w:rPr>
        <w:t>C. albicans</w:t>
      </w:r>
      <w:r w:rsidRPr="007D53A1">
        <w:t xml:space="preserve"> infection drives tryptophan catabolism through the kynurenine pathway via indoleamine 2,3-dioxygenase (IDO) induction in host dendritic cells, depleting the tryptophan pool available for serotonin synthesis while generating kynurenine metabolites that suppress IL-17 production at mucosal surfaces (Cheng et al., 2010; </w:t>
      </w:r>
      <w:proofErr w:type="spellStart"/>
      <w:r w:rsidRPr="007D53A1">
        <w:t>Zelante</w:t>
      </w:r>
      <w:proofErr w:type="spellEnd"/>
      <w:r w:rsidRPr="007D53A1">
        <w:t xml:space="preserve"> et al., 2013). IL-17 is the primary cytokine driving mucosal antifungal defense; its suppression is the single most consequential immune evasion outcome for a gut-resident organism. The structural parallel to the arachidonic acid diversion described above is precise: a single metabolic rerouting achieves both immune suppression (IL-17 loss) and neurotransmitter precursor depletion (serotonin reduction) simultaneously, through one enzymatic intervention at a shared substrate node.</w:t>
      </w:r>
    </w:p>
    <w:p w14:paraId="59D7C2E0" w14:textId="60D4C5BE" w:rsidR="00541D23" w:rsidRDefault="005F30F3" w:rsidP="004D0185">
      <w:r>
        <w:t>In the context of the Saline Oscillation Hypothesis, the organism’s capacity to manipulate vascular tone through prostaglandin production is directly relevant to the perfusion management architecture described in Section 4.3. PGE₂ is a potent vasodilator in most vascular beds and regulates renal blood flow, sodium handling, and renin release. An organism producing authentic PGE₂ from host-derived substrate has direct access to the vascular control systems that govern the electrolyte and perfusion dynamics at the center of the saline oscillation mechanism. The prostaglandin capability is not separate from the perfusion program. It is one of the tools by which the program operates.</w:t>
      </w:r>
    </w:p>
    <w:p w14:paraId="5565E914" w14:textId="77777777" w:rsidR="00FA617D" w:rsidRDefault="00FA617D" w:rsidP="00FA617D">
      <w:pPr>
        <w:pStyle w:val="Heading2"/>
      </w:pPr>
      <w:r>
        <w:t>5.5e Bioelectric Signaling: Ion Manipulation and the Electrochemical Interface</w:t>
      </w:r>
    </w:p>
    <w:p w14:paraId="41AB9568" w14:textId="3A0235C7" w:rsidR="00FA617D" w:rsidRDefault="00FA617D" w:rsidP="004D0185">
      <w:r>
        <w:t xml:space="preserve">Section 5.5 documents that farnesol inhibits voltage-gated Ca²⁺ channels (Roullet et al., 1999), establishing that a single </w:t>
      </w:r>
      <w:r>
        <w:rPr>
          <w:i/>
          <w:iCs/>
        </w:rPr>
        <w:t>C. albicans</w:t>
      </w:r>
      <w:r>
        <w:t xml:space="preserve"> metabolite can directly modulate host ion channel function. Section 5.5a describes </w:t>
      </w:r>
      <w:proofErr w:type="spellStart"/>
      <w:r>
        <w:t>candidalysin’s</w:t>
      </w:r>
      <w:proofErr w:type="spellEnd"/>
      <w:r>
        <w:t xml:space="preserve"> pore-forming activity, which causes uncontrolled Ca²⁺ influx across the host cell membrane (Moyes et al., 2016). These individual interactions, however, exist within a broader context: </w:t>
      </w:r>
      <w:r>
        <w:rPr>
          <w:i/>
          <w:iCs/>
        </w:rPr>
        <w:t>C. albicans</w:t>
      </w:r>
      <w:r>
        <w:t xml:space="preserve"> possesses a comprehensive suite of ion transport, pH manipulation, and electrochemical environment-engineering capabilities that, taken together, position it as an active modifier of the ionic landscape in which the host’s own electrochemical machinery operates. In the context of the Saline Oscillation Hypothesis, where electrolyte dynamics and perfusion management are central to the </w:t>
      </w:r>
      <w:r w:rsidR="00DD6777">
        <w:t>coevolution</w:t>
      </w:r>
      <w:r>
        <w:t xml:space="preserve">ary program, this </w:t>
      </w:r>
      <w:r>
        <w:lastRenderedPageBreak/>
        <w:t>ionic manipulation capability represents the most direct mechanistic interface between symbiont activity and the host’s Na⁺/K⁺-ATPase-dependent physiology.</w:t>
      </w:r>
    </w:p>
    <w:p w14:paraId="6E8F9B42" w14:textId="77777777" w:rsidR="00FA617D" w:rsidRDefault="00FA617D" w:rsidP="004D0185">
      <w:r>
        <w:rPr>
          <w:b/>
          <w:bCs/>
          <w:i/>
          <w:iCs/>
        </w:rPr>
        <w:t xml:space="preserve">Active pH manipulation through two independent metabolic pathways. </w:t>
      </w:r>
      <w:r>
        <w:rPr>
          <w:i/>
          <w:iCs/>
        </w:rPr>
        <w:t>C. albicans</w:t>
      </w:r>
      <w:r>
        <w:t xml:space="preserve"> modulates extracellular pH through at least two genetically distinct mechanisms. </w:t>
      </w:r>
      <w:proofErr w:type="spellStart"/>
      <w:r>
        <w:t>Vylkova</w:t>
      </w:r>
      <w:proofErr w:type="spellEnd"/>
      <w:r>
        <w:t xml:space="preserve"> et al. (2011) demonstrated that when amino acids serve as the carbon source, </w:t>
      </w:r>
      <w:r>
        <w:rPr>
          <w:i/>
          <w:iCs/>
        </w:rPr>
        <w:t>C. albicans</w:t>
      </w:r>
      <w:r>
        <w:t xml:space="preserve"> </w:t>
      </w:r>
      <w:proofErr w:type="gramStart"/>
      <w:r>
        <w:t>catabolizes</w:t>
      </w:r>
      <w:proofErr w:type="gramEnd"/>
      <w:r>
        <w:t xml:space="preserve"> them and excretes the amino nitrogen as ammonia, raising extracellular pH from approximately 4 to 7.5 within hours. This process is regulated by the transcription factor Stp2, which controls amino acid permease expression through the SPS (Ssy1-Ptr3-Ssy5) sensor system. The ammonia is exported through the Ato family of transporters, which is significantly expanded in </w:t>
      </w:r>
      <w:r>
        <w:rPr>
          <w:i/>
          <w:iCs/>
        </w:rPr>
        <w:t>C. albicans</w:t>
      </w:r>
      <w:r>
        <w:t xml:space="preserve"> (10 members) relative to non-alkalinizing species (</w:t>
      </w:r>
      <w:proofErr w:type="spellStart"/>
      <w:r>
        <w:t>Vylkova</w:t>
      </w:r>
      <w:proofErr w:type="spellEnd"/>
      <w:r>
        <w:t xml:space="preserve"> et al., 2011). Danhof and colleagues (2016) identified a second, genetically independent pathway: when carboxylic acids such as lactate, pyruvate, or α-ketoglutarate serve as the carbon source, </w:t>
      </w:r>
      <w:r>
        <w:rPr>
          <w:i/>
          <w:iCs/>
        </w:rPr>
        <w:t>C. albicans</w:t>
      </w:r>
      <w:r>
        <w:t xml:space="preserve"> rapidly </w:t>
      </w:r>
      <w:proofErr w:type="gramStart"/>
      <w:r>
        <w:t>neutralizes</w:t>
      </w:r>
      <w:proofErr w:type="gramEnd"/>
      <w:r>
        <w:t xml:space="preserve"> acidic environments without ammonia release, without inducing hyphal morphogenesis, and through mutations distinct from those that impair the amino acid-driven pathway. Two independent metabolic routes converge on the same environmental outcome: pH neutralization.</w:t>
      </w:r>
    </w:p>
    <w:p w14:paraId="16442312" w14:textId="77777777" w:rsidR="00FA617D" w:rsidRDefault="00FA617D" w:rsidP="004D0185">
      <w:r>
        <w:t>Most recently, Chen et al. (2025) identified the transcription factor Dal81 as a previously unrecognized positive regulator of alkalinization that physically interacts with Stp2 to co-regulate a broad set of downstream target genes governing amino acid metabolism, extracellular pH modulation, fitness, and pathogenicity. The alkalinization program is not a single-gene response; it is a coordinated regulatory network with multiple transcriptional inputs.</w:t>
      </w:r>
    </w:p>
    <w:p w14:paraId="4F023930" w14:textId="77777777" w:rsidR="00FA617D" w:rsidRDefault="00FA617D" w:rsidP="004D0185">
      <w:proofErr w:type="spellStart"/>
      <w:r>
        <w:rPr>
          <w:b/>
          <w:bCs/>
          <w:i/>
          <w:iCs/>
        </w:rPr>
        <w:t>Phagosomal</w:t>
      </w:r>
      <w:proofErr w:type="spellEnd"/>
      <w:r>
        <w:rPr>
          <w:b/>
          <w:bCs/>
          <w:i/>
          <w:iCs/>
        </w:rPr>
        <w:t xml:space="preserve"> pH neutralization. </w:t>
      </w:r>
      <w:r>
        <w:t xml:space="preserve">The pH manipulation capability extends to the most hostile intracellular environment the host can deploy. </w:t>
      </w:r>
      <w:proofErr w:type="spellStart"/>
      <w:r>
        <w:t>Vylkova</w:t>
      </w:r>
      <w:proofErr w:type="spellEnd"/>
      <w:r>
        <w:t xml:space="preserve"> and Lorenz (2014) demonstrated that phagocytosed </w:t>
      </w:r>
      <w:r>
        <w:rPr>
          <w:i/>
          <w:iCs/>
        </w:rPr>
        <w:t>C. albicans</w:t>
      </w:r>
      <w:r>
        <w:t xml:space="preserve"> cells neutralize the acidic phagolysosome through amino acid-driven alkalinization. Wild-type cells fail to co-localize with acidophilic dyes, indicating they occupy a neutral phagosome. Mutants lacking Stp2 remain in acidic phagosomes, cannot initiate hyphal morphogenesis, are killed at higher rates, and cause less macrophage damage. Pharmacological neutralization of the phagosome restored hyphal morphogenesis in the </w:t>
      </w:r>
      <w:r>
        <w:rPr>
          <w:i/>
          <w:iCs/>
        </w:rPr>
        <w:t>stp2Δ</w:t>
      </w:r>
      <w:r>
        <w:t xml:space="preserve"> mutant, confirming that the pH change itself, not another Stp2 function, is the critical trigger for escape. The organism rewrites the pH of the compartment the host designed to kill it, and uses the pH change to activate the morphological transition required for escape.</w:t>
      </w:r>
    </w:p>
    <w:p w14:paraId="2358C380" w14:textId="77777777" w:rsidR="00FA617D" w:rsidRDefault="00FA617D" w:rsidP="004D0185">
      <w:proofErr w:type="spellStart"/>
      <w:r>
        <w:t>Vylkova</w:t>
      </w:r>
      <w:proofErr w:type="spellEnd"/>
      <w:r>
        <w:t xml:space="preserve"> (2017) reviewed pH modulation as a general fungal virulence strategy, noting that </w:t>
      </w:r>
      <w:r>
        <w:rPr>
          <w:i/>
          <w:iCs/>
        </w:rPr>
        <w:t>C. albicans</w:t>
      </w:r>
      <w:r>
        <w:t xml:space="preserve"> </w:t>
      </w:r>
      <w:proofErr w:type="gramStart"/>
      <w:r>
        <w:t>alkalinizes</w:t>
      </w:r>
      <w:proofErr w:type="gramEnd"/>
      <w:r>
        <w:t xml:space="preserve"> at a rate unprecedented among human fungal pathogens, and that the most pathogenic </w:t>
      </w:r>
      <w:r>
        <w:rPr>
          <w:i/>
          <w:iCs/>
        </w:rPr>
        <w:t>Candida</w:t>
      </w:r>
      <w:r>
        <w:t xml:space="preserve"> species possess the most expanded arsenals of amino acid transporters and ammonia exporters. The correlation between alkalinization capacity and pathogenic success across the genus supports the interpretation that pH manipulation is not metabolic waste disposal but environmental engineering in service of the organism’s program.</w:t>
      </w:r>
    </w:p>
    <w:p w14:paraId="1F50CFE8" w14:textId="77777777" w:rsidR="00FA617D" w:rsidRDefault="00FA617D" w:rsidP="004D0185">
      <w:r>
        <w:rPr>
          <w:b/>
          <w:bCs/>
          <w:i/>
          <w:iCs/>
        </w:rPr>
        <w:t xml:space="preserve">Potassium transport and competition with the host. </w:t>
      </w:r>
      <w:r>
        <w:rPr>
          <w:i/>
          <w:iCs/>
        </w:rPr>
        <w:t>C. albicans</w:t>
      </w:r>
      <w:r>
        <w:t xml:space="preserve"> maintains intracellular potassium concentrations of 200–300 mmol/L and must compete with host cells for extracellular potassium, which is typically present at only a few mmol/L in host fluids (Ramos et al., 2022). The organism possesses a complex potassium transport network including high-affinity uptake transporters (Trk1, Trk2), an outward-rectifying K⁺ channel (Tok1) with a membrane topology distinct from all other known potassium channel classes (recently resolved at atomic resolution; BPS, 2026), Na⁺/K⁺-ATPase pumps (Ena21-22), and the Na⁺/H⁺ antiporter Cnh1, which exports potassium in addition to sodium (</w:t>
      </w:r>
      <w:proofErr w:type="spellStart"/>
      <w:r>
        <w:t>Kinclova-Zimmermannova</w:t>
      </w:r>
      <w:proofErr w:type="spellEnd"/>
      <w:r>
        <w:t xml:space="preserve"> et al., 2007). A vacuolar transient receptor potential (TRP) channel (Yvc1) mediates calcium and potassium transport between the vacuole and mitochondria, governing the interaction among oxidative stress response, vacuolar </w:t>
      </w:r>
      <w:r>
        <w:lastRenderedPageBreak/>
        <w:t>integrity, and mitochondrial function (Yu et al., 2014). Ion homeostasis is directly connected to morphogenesis, drug resistance, cell wall integrity, and invasive growth (Li et al., 2018).</w:t>
      </w:r>
    </w:p>
    <w:p w14:paraId="7A44B8EA" w14:textId="14FF8CCA" w:rsidR="00FA617D" w:rsidRDefault="00FA617D" w:rsidP="004D0185">
      <w:r>
        <w:t xml:space="preserve">The organism’s potassium transport activity directly alters the local extracellular K⁺ concentration in its immediate environment. In tissue microenvironments where </w:t>
      </w:r>
      <w:r>
        <w:rPr>
          <w:i/>
          <w:iCs/>
        </w:rPr>
        <w:t>C. albicans</w:t>
      </w:r>
      <w:r>
        <w:t xml:space="preserve"> density is high, whether in biofilms, in the gut lumen, or within the novel peritoneal compartment described in the longitudinal case study (Craddock, </w:t>
      </w:r>
      <w:r w:rsidR="009B06E6">
        <w:t>2026c)</w:t>
      </w:r>
      <w:r>
        <w:t>, the organism’s collective potassium uptake reduces the extracellular K⁺ available to adjacent host cells. This is not theoretical: the organism requires 200–300 mmol/L intracellular K⁺ and extracts it from a medium containing only a few mmol/L. At sufficient fungal density, this creates a measurable K⁺ depletion zone around the colony.</w:t>
      </w:r>
    </w:p>
    <w:p w14:paraId="3976EDB5" w14:textId="77777777" w:rsidR="00FA617D" w:rsidRDefault="00FA617D" w:rsidP="004D0185">
      <w:r>
        <w:rPr>
          <w:b/>
          <w:bCs/>
          <w:i/>
          <w:iCs/>
        </w:rPr>
        <w:t xml:space="preserve">Candidalysin as a bioelectric disruptor. </w:t>
      </w:r>
      <w:r>
        <w:t xml:space="preserve">The pore-forming toxin </w:t>
      </w:r>
      <w:proofErr w:type="spellStart"/>
      <w:r>
        <w:t>candidalysin</w:t>
      </w:r>
      <w:proofErr w:type="spellEnd"/>
      <w:r>
        <w:t xml:space="preserve"> (Section 5.5a) is not merely a cytolytic agent. Each </w:t>
      </w:r>
      <w:proofErr w:type="spellStart"/>
      <w:r>
        <w:t>candidalysin</w:t>
      </w:r>
      <w:proofErr w:type="spellEnd"/>
      <w:r>
        <w:t xml:space="preserve"> pore is a local short-circuit in the host cell’s electrochemical gradient. Russell et al. (2022) demonstrated that </w:t>
      </w:r>
      <w:proofErr w:type="spellStart"/>
      <w:r>
        <w:t>candidalysin</w:t>
      </w:r>
      <w:proofErr w:type="spellEnd"/>
      <w:r>
        <w:t xml:space="preserve"> forms pores through a unique mechanism: the peptide self-assembles into octameric polymers and loops in solution before inserting into the membrane, producing stable pores that cause uncontrolled Ca²⁺ influx, release of cellular proteins, and critically, efflux of ATP from the host cell into the extracellular space (Ho et al., 2021; Russell et al., 2022). The calcium influx triggers matrix metalloproteinase activation, EGFR signaling, and cytokine release (Moyes et al., 2019). But the ATP efflux is equally significant: it represents the host cell losing its energy currency directly into the environment where the organism can access it. Simultaneously, the unregulated ion flux through the pore collapses the transmembrane potential that the Na⁺/K⁺-ATPase maintains at a cost of 30–70% of total cellular ATP production.</w:t>
      </w:r>
    </w:p>
    <w:p w14:paraId="228A069B" w14:textId="77777777" w:rsidR="00FA617D" w:rsidRDefault="00FA617D" w:rsidP="004D0185">
      <w:r>
        <w:rPr>
          <w:b/>
          <w:bCs/>
          <w:i/>
          <w:iCs/>
        </w:rPr>
        <w:t xml:space="preserve">Convergence: creating the conditions for pump reversal. </w:t>
      </w:r>
      <w:r>
        <w:t xml:space="preserve">The Na⁺/K⁺-ATPase is a reversible enzyme. Garrahan and Glynn (1966), in a foundational paper in </w:t>
      </w:r>
      <w:r>
        <w:rPr>
          <w:i/>
          <w:iCs/>
        </w:rPr>
        <w:t>Nature</w:t>
      </w:r>
      <w:r>
        <w:t xml:space="preserve">, demonstrated that by arranging sufficiently adverse concentration gradients for sodium and potassium across intact red blood cell membranes, the Na⁺/K⁺ pump can be driven backwards to synthesize ATP from ADP and inorganic phosphate. They noted that the free energy available to drive the pump forward under normal physiological conditions is approximately 3,000 calories per ATP, a narrow thermodynamic margin between forward and reverse operation. Robinson, Hall, and Dunham (1977) further characterized the reverse mode in resealed red cell ghosts, measuring ATP synthesis as a function of internal K⁺ concentration. Schwarz and colleagues (1991) demonstrated in </w:t>
      </w:r>
      <w:r>
        <w:rPr>
          <w:i/>
          <w:iCs/>
        </w:rPr>
        <w:t>Xenopus</w:t>
      </w:r>
      <w:r>
        <w:t xml:space="preserve"> oocytes that under conditions of reduced intracellular Na⁺ and ATP (both below 1 mM) combined with extracellularly K⁺-free medium, the pump operates in reversed mode, pumping Na⁺ into the cell and K⁺ out. A recent comprehensive review confirms that each stage of the NKA cycle is reversible contingent upon substrate availability, and that under specific conditions, NKA can operate in the opposite direction, acting as an ATP synthase (Bhatt et al., 2024).</w:t>
      </w:r>
    </w:p>
    <w:p w14:paraId="242C3796" w14:textId="77777777" w:rsidR="00FA617D" w:rsidRDefault="00FA617D" w:rsidP="004D0185">
      <w:r>
        <w:t xml:space="preserve">The conditions required for pump reversal are specific: reduced intracellular Na⁺, reduced intracellular ATP, and reduced or absent extracellular K⁺. The organism’s documented capabilities converge on precisely these conditions. Candidalysin pores cause ATP efflux from the host cell, reducing intracellular ATP. The same pores permit unregulated ion flux, collapsing the Na⁺ gradient. The organism’s high-affinity potassium uptake competes with host cells for extracellular K⁺, creating local K⁺ depletion zones. pH manipulation through ammonia excretion alters the proton gradient that drives the Na⁺/K⁺-ATPase. Farnesol inhibits voltage-gated Ca²⁺ channels, modifying the calcium signaling that regulates pump activity. No single mechanism needs to flip the pump by force. The organism nudges the electrochemical landscape from </w:t>
      </w:r>
      <w:r>
        <w:lastRenderedPageBreak/>
        <w:t>multiple directions simultaneously, and the thermodynamic margin is narrow enough that the cumulative effect can tip the pump past the reversal threshold.</w:t>
      </w:r>
    </w:p>
    <w:p w14:paraId="4F5D2FB6" w14:textId="77777777" w:rsidR="00FA617D" w:rsidRDefault="00FA617D" w:rsidP="004D0185">
      <w:r>
        <w:rPr>
          <w:b/>
          <w:bCs/>
          <w:i/>
          <w:iCs/>
        </w:rPr>
        <w:t xml:space="preserve">Implications of reversed pump operation. </w:t>
      </w:r>
      <w:r>
        <w:t xml:space="preserve">If the Na⁺/K⁺-ATPase operates in reverse mode in affected tissues, the consequences extend beyond energy metabolism. In forward mode, the pump maintains the electrochemical gradient that every cell depends on for volume regulation, membrane potential, excitability, and secondary active transport. In reverse mode, these gradients collapse or invert. The pump, which normally consumes 30–70% of cellular ATP to maintain gradients, instead harvests the stored electrochemical potential energy of existing gradients to generate ATP. The ion gradients that the cell spent </w:t>
      </w:r>
      <w:proofErr w:type="gramStart"/>
      <w:r>
        <w:t>its</w:t>
      </w:r>
      <w:proofErr w:type="gramEnd"/>
      <w:r>
        <w:t xml:space="preserve"> lifetime building become a fuel reserve.</w:t>
      </w:r>
    </w:p>
    <w:p w14:paraId="44FC3820" w14:textId="75D16B22" w:rsidR="00FA617D" w:rsidRDefault="00FA617D" w:rsidP="004D0185">
      <w:r>
        <w:t xml:space="preserve">In a system where conventional mitochondrial ATP generation is compromised, whether by fungal interference with mitochondrial function, substrate depletion, or the metabolic shifts documented in the longitudinal case study (Craddock, </w:t>
      </w:r>
      <w:r w:rsidR="009B06E6">
        <w:t>2026c)</w:t>
      </w:r>
      <w:r>
        <w:t>, reverse pump operation would represent an alternative energy generation pathway. The host is, in effect, carrying a stored fuel source in every cell’s ion gradient that is not accessed under normal physiological conditions. The organism’s ionic manipulation capabilities provide the mechanism by which this reserve could be tapped.</w:t>
      </w:r>
    </w:p>
    <w:p w14:paraId="1B0209C1" w14:textId="30BA3E0F" w:rsidR="00FA617D" w:rsidRDefault="00FA617D" w:rsidP="004D0185">
      <w:r>
        <w:t xml:space="preserve">The downstream physiological consequences of reversed gradients in affected tissue would include altered cell volume regulation (cells that can no longer maintain their normal volume may shrink through water loss, consistent with the apoptotic volume decrease that precedes programmed cell death), changes in membrane potential affecting excitability and signaling in nearby cells, disruption of secondary active transport systems that depend on the Na⁺ gradient (including glucose co-transporters, amino acid transporters, and neurotransmitter reuptake systems), and altered skin physiology in tissues where the epidermis is affected. </w:t>
      </w:r>
    </w:p>
    <w:p w14:paraId="1E8B9825" w14:textId="77777777" w:rsidR="002002C8" w:rsidRPr="002002C8" w:rsidRDefault="002002C8" w:rsidP="004D0185">
      <w:r w:rsidRPr="002002C8">
        <w:rPr>
          <w:b/>
          <w:bCs/>
        </w:rPr>
        <w:t>Epidermal implications of altered gradients.</w:t>
      </w:r>
      <w:r w:rsidRPr="002002C8">
        <w:t xml:space="preserve"> The human epidermis is </w:t>
      </w:r>
      <w:proofErr w:type="gramStart"/>
      <w:r w:rsidRPr="002002C8">
        <w:t>a continuously</w:t>
      </w:r>
      <w:proofErr w:type="gramEnd"/>
      <w:r w:rsidRPr="002002C8">
        <w:t xml:space="preserve"> regenerating tissue. New keratinocytes are generated by division of basal layer stem cells sitting on the basement membrane, with direct access to dermal interstitial fluid and capillary diffusion. Daughter cells are pushed upward through the spinous, granular, and cornified layers, progressively flattening, keratinizing, and undergoing programmed cell death as they rise. In normal skin, the outermost cornified layers desquamate at approximately the rate new cells are produced, maintaining a steady-state thickness. If reversed electrochemical gradients in the upper epidermal layers accelerate apoptotic volume decrease in keratinocytes that have not yet reached the normal desquamation stage, while the basal layer continues to generate new cells at its normal rate, the result is accumulation: apoptotic layers stacking faster than they shed, producing progressive thickening, tightening, and compression of the skin. The basal layer, sitting on the basement membrane with full access to interstitial fluids, remains the last layer to lose function and continues generating new cells from below, even as the layers above it are compressed by the accumulating stack.</w:t>
      </w:r>
    </w:p>
    <w:p w14:paraId="6C5897BC" w14:textId="05A2527E" w:rsidR="002002C8" w:rsidRPr="002002C8" w:rsidRDefault="002002C8" w:rsidP="004D0185">
      <w:r w:rsidRPr="002002C8">
        <w:rPr>
          <w:i/>
          <w:iCs/>
        </w:rPr>
        <w:t>C. albicans</w:t>
      </w:r>
      <w:r w:rsidRPr="002002C8">
        <w:t xml:space="preserve"> hyphae are documented to penetrate through all epidermal layers including the basal layer, with sequential expression of secreted aspartyl proteinases at each depth (Schaller et al., 1999). </w:t>
      </w:r>
      <w:r w:rsidR="00F06B84" w:rsidRPr="00F06B84">
        <w:t>The organism adheres to live basal keratinocytes via interactions between fungal phosphoglycerate mutase (Gpm1) and epithelial cell vitronectin (Lopez et al., 2014).</w:t>
      </w:r>
      <w:r w:rsidRPr="002002C8">
        <w:t xml:space="preserve"> Melanocytes in the basal layer detect </w:t>
      </w:r>
      <w:r w:rsidRPr="002002C8">
        <w:rPr>
          <w:i/>
          <w:iCs/>
        </w:rPr>
        <w:t>C. albicans</w:t>
      </w:r>
      <w:r w:rsidRPr="002002C8">
        <w:t xml:space="preserve"> through TLR4 and respond by increasing melanin production (Tapia et al., 2014). Notably, Lachat et al. (2022) demonstrated that </w:t>
      </w:r>
      <w:r w:rsidRPr="002002C8">
        <w:rPr>
          <w:i/>
          <w:iCs/>
        </w:rPr>
        <w:t>C. albicans</w:t>
      </w:r>
      <w:r w:rsidRPr="002002C8">
        <w:t xml:space="preserve"> hyphae can traverse multiple host cells within trans-cellular tunnels without causing membrane damage at early stages, indicating that the organism can establish intracellular </w:t>
      </w:r>
      <w:r w:rsidRPr="002002C8">
        <w:lastRenderedPageBreak/>
        <w:t>presence in the epidermis while leaving the tissue structurally intact. An organism that reaches the basal layer, adheres to its cells, and can tunnel through the layers above without destroying them has the positional access required to influence the ionic environment of the regenerative layer from within, while the consequences of that influence</w:t>
      </w:r>
      <w:r w:rsidR="000E5810">
        <w:t xml:space="preserve">, i.e., </w:t>
      </w:r>
      <w:r w:rsidRPr="002002C8">
        <w:t xml:space="preserve">altered gradients, accelerated apoptosis, </w:t>
      </w:r>
      <w:r w:rsidR="000E5810">
        <w:t>and l</w:t>
      </w:r>
      <w:r w:rsidRPr="002002C8">
        <w:t>ayer accumulation</w:t>
      </w:r>
      <w:r w:rsidR="000E5810">
        <w:t xml:space="preserve">, </w:t>
      </w:r>
      <w:r w:rsidRPr="002002C8">
        <w:t>manifest in the tissue above.</w:t>
      </w:r>
    </w:p>
    <w:p w14:paraId="1DC1EE67" w14:textId="1918B9DA" w:rsidR="002002C8" w:rsidRPr="002002C8" w:rsidRDefault="002002C8" w:rsidP="004D0185">
      <w:r w:rsidRPr="002002C8">
        <w:t>The tissue-level changes predicted by this model</w:t>
      </w:r>
      <w:r w:rsidR="000E5810">
        <w:t>, including</w:t>
      </w:r>
      <w:r w:rsidRPr="002002C8">
        <w:t xml:space="preserve"> progressive skin toughening, compression, tightening, and episodic burning from disrupted ion gradients activating epidermal nociceptors</w:t>
      </w:r>
      <w:r w:rsidR="000E5810">
        <w:t xml:space="preserve">, </w:t>
      </w:r>
      <w:r w:rsidRPr="002002C8">
        <w:t xml:space="preserve">are documented in the longitudinal case study (Craddock, </w:t>
      </w:r>
      <w:r w:rsidR="009B06E6">
        <w:t>2026c)</w:t>
      </w:r>
      <w:r w:rsidRPr="002002C8">
        <w:t>.</w:t>
      </w:r>
    </w:p>
    <w:p w14:paraId="383CFAB2" w14:textId="77777777" w:rsidR="00FA617D" w:rsidRDefault="00FA617D" w:rsidP="004D0185">
      <w:r>
        <w:rPr>
          <w:b/>
          <w:bCs/>
          <w:i/>
          <w:iCs/>
        </w:rPr>
        <w:t xml:space="preserve">Integration with the saline oscillation mechanism. </w:t>
      </w:r>
      <w:r>
        <w:t>The Saline Oscillation Hypothesis (Section 2) proposes that cyclical drinking water salinity in the East African Rift Valley created SIADH-type electrolyte disruption during freshwater transitions. The organism’s documented ionic manipulation capabilities, active pH modulation, potassium competition, transmembrane pore formation, and calcium channel modulation, are the molecular tools by which the symbiont would manage host electrolyte balance during precisely these disruptions. An organism that can raise extracellular pH by four units within hours, compete for potassium at concentrations two orders of magnitude above the extracellular supply, neutralize the acidic phagolysosome of the immune cells sent to destroy it, and punch calibrated pores in host cell membranes to modify transmembrane ion flux does not need a novel mechanism to manage saline oscillation. It needs only to apply the ionic manipulation capabilities it already possesses to the electrolyte environment it already inhabits.</w:t>
      </w:r>
    </w:p>
    <w:p w14:paraId="166A4061" w14:textId="0395C9F4" w:rsidR="00FA617D" w:rsidRDefault="00FA617D" w:rsidP="004D0185">
      <w:r>
        <w:t xml:space="preserve">The Na⁺/K⁺-ATPase reversal mechanism adds a further dimension: under the altered ionic conditions the symbiont creates, the host’s primary energy-consuming ion pump can become an energy-generating one. In the context of the </w:t>
      </w:r>
      <w:r w:rsidR="00DD6777">
        <w:t>coevolution</w:t>
      </w:r>
      <w:r>
        <w:t xml:space="preserve">ary program, this may explain how the host maintains function, including the cognitive clarity documented in the historical cohort and the longitudinal case study, during phases when conventional energy production is compromised. The organism is not destroying the host’s ionic infrastructure. It is </w:t>
      </w:r>
      <w:proofErr w:type="gramStart"/>
      <w:r>
        <w:t>repurposing</w:t>
      </w:r>
      <w:proofErr w:type="gramEnd"/>
      <w:r>
        <w:t xml:space="preserve"> it.</w:t>
      </w:r>
    </w:p>
    <w:p w14:paraId="1C905CA8" w14:textId="77777777" w:rsidR="00303C34" w:rsidRDefault="006C3A6A">
      <w:pPr>
        <w:pStyle w:val="Heading2"/>
      </w:pPr>
      <w:bookmarkStart w:id="25" w:name="the-in-vitro-caveat"/>
      <w:bookmarkEnd w:id="24"/>
      <w:r>
        <w:t>5.6 The In Vitro Caveat</w:t>
      </w:r>
    </w:p>
    <w:p w14:paraId="693F6562" w14:textId="2E969D24" w:rsidR="00303C34" w:rsidRDefault="00541D23" w:rsidP="004D0185">
      <w:r w:rsidRPr="00541D23">
        <w:t xml:space="preserve">The extracellular vesicle system described in Section 5.5b provides a partial answer to the coordination problem: the organism packages multi-signal payloads into membrane-enclosed vesicles with morphology-dependent and temporally variable cargo. Nevertheless, a critical methodological note is required. </w:t>
      </w:r>
      <w:r w:rsidR="006C3A6A">
        <w:t xml:space="preserve">Virtually </w:t>
      </w:r>
      <w:proofErr w:type="gramStart"/>
      <w:r w:rsidR="006C3A6A">
        <w:t>all of</w:t>
      </w:r>
      <w:proofErr w:type="gramEnd"/>
      <w:r w:rsidR="006C3A6A">
        <w:t xml:space="preserve"> the receptor-level and cross-kingdom interactions described above were characterized </w:t>
      </w:r>
      <w:r w:rsidR="006C3A6A">
        <w:rPr>
          <w:i/>
          <w:iCs/>
        </w:rPr>
        <w:t>in vitro</w:t>
      </w:r>
      <w:r w:rsidR="006C3A6A">
        <w:t xml:space="preserve">: isolated compounds tested against isolated targets in controlled media. The morphological suppression, the competing-fungi apoptosis, the immune cell manipulation, the GABA-A binding, the nuclear receptor activation </w:t>
      </w:r>
      <w:proofErr w:type="gramStart"/>
      <w:r w:rsidR="006C3A6A">
        <w:t>were</w:t>
      </w:r>
      <w:proofErr w:type="gramEnd"/>
      <w:r w:rsidR="006C3A6A">
        <w:t xml:space="preserve"> all demonstrated in the reductionist context of cell culture or defined assay systems.</w:t>
      </w:r>
    </w:p>
    <w:p w14:paraId="40213DF6" w14:textId="77777777" w:rsidR="00303C34" w:rsidRDefault="006C3A6A" w:rsidP="004D0185">
      <w:r>
        <w:t xml:space="preserve">Inside a living mammalian host, the situation is fundamentally different. </w:t>
      </w:r>
      <w:r>
        <w:rPr>
          <w:i/>
          <w:iCs/>
        </w:rPr>
        <w:t>C. albicans</w:t>
      </w:r>
      <w:r>
        <w:t xml:space="preserve"> </w:t>
      </w:r>
      <w:proofErr w:type="gramStart"/>
      <w:r>
        <w:t>is producing</w:t>
      </w:r>
      <w:proofErr w:type="gramEnd"/>
      <w:r>
        <w:t xml:space="preserve"> hundreds of compounds simultaneously, in varying concentrations, in different tissue microenvironments with variable pH, oxygen tension, carbon sources, immune pressures, and co-resident organisms at every location. The metabolite profile shifts depending on whether the organism is utilizing glucose or lactate, whether it is in yeast or hyphal form, and what signals it is receiving from the local microbial community and host cells. The </w:t>
      </w:r>
      <w:r>
        <w:rPr>
          <w:i/>
          <w:iCs/>
        </w:rPr>
        <w:t>in vitro</w:t>
      </w:r>
      <w:r>
        <w:t xml:space="preserve"> work demonstrates that the keys fit the locks. It does not reveal which doors are being opened, in what order, in what combination, or in response to what local conditions.</w:t>
      </w:r>
    </w:p>
    <w:p w14:paraId="5652ECA5" w14:textId="77777777" w:rsidR="00303C34" w:rsidRDefault="006C3A6A" w:rsidP="004D0185">
      <w:r>
        <w:lastRenderedPageBreak/>
        <w:t xml:space="preserve">No study has attempted to map the integrated, real-time metabolite-receptor interaction network of </w:t>
      </w:r>
      <w:r>
        <w:rPr>
          <w:i/>
          <w:iCs/>
        </w:rPr>
        <w:t>C. albicans</w:t>
      </w:r>
      <w:r>
        <w:t xml:space="preserve"> operating inside a living host. The individual components are peer-reviewed and confirmed. The assembled system has never been observed. The field’s tools are reductionist. The organism is not.</w:t>
      </w:r>
    </w:p>
    <w:p w14:paraId="464D4D75" w14:textId="77777777" w:rsidR="00303C34" w:rsidRDefault="006C3A6A">
      <w:pPr>
        <w:pStyle w:val="Heading2"/>
      </w:pPr>
      <w:bookmarkStart w:id="26" w:name="X0827cbcd662552504d1875bcb346ee6d48c6775"/>
      <w:bookmarkEnd w:id="25"/>
      <w:r>
        <w:t>5.7 The Absent Receptor and the Effector Hypothesis</w:t>
      </w:r>
    </w:p>
    <w:p w14:paraId="7CB5184A" w14:textId="77777777" w:rsidR="00193075" w:rsidRDefault="00193075" w:rsidP="004D0185">
      <w:bookmarkStart w:id="27" w:name="X79750096609c9f99defb638f3d445c7fe314f21"/>
      <w:bookmarkEnd w:id="26"/>
      <w:r>
        <w:t xml:space="preserve">Despite twenty-two years of active research since Hornby et al. (2001), no farnesol receptor or sensor has been identified in </w:t>
      </w:r>
      <w:r>
        <w:rPr>
          <w:i/>
          <w:iCs/>
        </w:rPr>
        <w:t>C. albicans</w:t>
      </w:r>
      <w:r>
        <w:t xml:space="preserve"> itself (Nickerson et al., 2023). Multiple receptors for farnesol have been characterized in the mammalian host (FXR, GABA-A, voltage-gated Ca²⁺ channels, PPARs) and confirmed effects have been documented in competing fungi and bacteria. The producing organism does not appear to detect its own primary signaling compound.</w:t>
      </w:r>
    </w:p>
    <w:p w14:paraId="4A71DB60" w14:textId="77777777" w:rsidR="00193075" w:rsidRDefault="00193075" w:rsidP="004D0185">
      <w:r>
        <w:t xml:space="preserve">The prevailing interpretation of farnesol function since its discovery has been morphological self-regulation: as population density increases, extracellular farnesol accumulates and suppresses the yeast-to-hyphal transition, maintaining the population in yeast form (Hornby et al., 2001). This quorum-sensing model is well-supported experimentally. The morphological suppression is reproducible, dose-dependent, and specific to the </w:t>
      </w:r>
      <w:proofErr w:type="gramStart"/>
      <w:r>
        <w:t>E,E</w:t>
      </w:r>
      <w:proofErr w:type="gramEnd"/>
      <w:r>
        <w:t>-isomer (</w:t>
      </w:r>
      <w:proofErr w:type="spellStart"/>
      <w:r>
        <w:t>Shchepin</w:t>
      </w:r>
      <w:proofErr w:type="spellEnd"/>
      <w:r>
        <w:t xml:space="preserve"> et al., 2003).</w:t>
      </w:r>
    </w:p>
    <w:p w14:paraId="0CF9BB88" w14:textId="77777777" w:rsidR="00193075" w:rsidRDefault="00193075" w:rsidP="004D0185">
      <w:r>
        <w:t xml:space="preserve">However, the quorum-sensing model accounts for only one of farnesol’s many confirmed biological activities. The same molecule that suppresses filamentation in </w:t>
      </w:r>
      <w:r>
        <w:rPr>
          <w:i/>
          <w:iCs/>
        </w:rPr>
        <w:t>C. albicans</w:t>
      </w:r>
      <w:r>
        <w:t xml:space="preserve"> also induces apoptosis in competing fungi (</w:t>
      </w:r>
      <w:proofErr w:type="spellStart"/>
      <w:r>
        <w:t>Semighini</w:t>
      </w:r>
      <w:proofErr w:type="spellEnd"/>
      <w:r>
        <w:t xml:space="preserve"> et al., 2006), downregulates virulence signaling in bacteria (Cugini et al., 2007), activates nuclear transcription factors in the mammalian host (Forman et al., 1995), modulates the primary inhibitory neurotransmitter system in the brain (Gc et al., 2023), blocks voltage-gated calcium channels (Roullet et al., 1999), and selectively induces apoptosis in mammalian cancer cells while sparing healthy tissue (Joo et al., 2009). If the primary function of farnesol were morphological self-regulation, the breadth and specificity of its cross-kingdom activity would be difficult to explain, and the absence of any identified receptor in the producing organism would remain paradoxical.</w:t>
      </w:r>
    </w:p>
    <w:p w14:paraId="639C1916" w14:textId="77777777" w:rsidR="00193075" w:rsidRDefault="00193075" w:rsidP="004D0185">
      <w:r>
        <w:t xml:space="preserve">We propose that morphological suppression is not the primary function of farnesol but rather one consequence of a broader effector strategy. The yeast form is the dispersal and commensal form of </w:t>
      </w:r>
      <w:r>
        <w:rPr>
          <w:i/>
          <w:iCs/>
        </w:rPr>
        <w:t>C. albicans</w:t>
      </w:r>
      <w:r>
        <w:t>; the hyphal form is the tissue-invasive form. An effector molecule that simultaneously suppresses premature tissue invasion, suppresses competing microorganisms, modulates host immunity, and accesses host transcriptional and neurological signaling would produce the observed morphological effect as a byproduct of maintaining the conditions under which the symbiont’s long-term program operates. The organism is not telling itself to stay small. It is maintaining the operational environment in which its program runs.</w:t>
      </w:r>
    </w:p>
    <w:p w14:paraId="767B422C" w14:textId="77777777" w:rsidR="00193075" w:rsidRDefault="00193075" w:rsidP="004D0185">
      <w:r>
        <w:t xml:space="preserve">The cross-kingdom activity described in Sections 5.3 and 5.4 is consistent with this effector interpretation. </w:t>
      </w:r>
      <w:r>
        <w:rPr>
          <w:i/>
          <w:iCs/>
        </w:rPr>
        <w:t>Candida</w:t>
      </w:r>
      <w:r>
        <w:t xml:space="preserve"> does not suppress competing fungi and downregulate bacterial virulence factors out of altruism toward the host. It does so because a stable host with a predictable internal environment is an optimal resource. Competing fungal infections trigger inflammatory immune cascades. Bacterial virulence factors cause tissue damage. Both destabilize the niche the symbiont requires. The organism’s first imperative is to feed, to metabolize, to persist</w:t>
      </w:r>
      <w:proofErr w:type="gramStart"/>
      <w:r>
        <w:t>, to</w:t>
      </w:r>
      <w:proofErr w:type="gramEnd"/>
      <w:r>
        <w:t xml:space="preserve"> exist commensally. To do that optimally, it requires environmental parameters within a tolerable range. The cross-kingdom signaling described here is not grand strategy. It is ecological housekeeping in service of the organism’s primary interest: an undisturbed host.</w:t>
      </w:r>
    </w:p>
    <w:p w14:paraId="71A68260" w14:textId="77777777" w:rsidR="00193075" w:rsidRDefault="00193075" w:rsidP="004D0185">
      <w:r>
        <w:lastRenderedPageBreak/>
        <w:t xml:space="preserve">Not all cells </w:t>
      </w:r>
      <w:proofErr w:type="gramStart"/>
      <w:r>
        <w:t>participate in this maintenance at all times</w:t>
      </w:r>
      <w:proofErr w:type="gramEnd"/>
      <w:r>
        <w:t xml:space="preserve">. </w:t>
      </w:r>
      <w:r>
        <w:rPr>
          <w:i/>
          <w:iCs/>
        </w:rPr>
        <w:t>C. albicans</w:t>
      </w:r>
      <w:r>
        <w:t xml:space="preserve"> populations exist across a spectrum of activity states. </w:t>
      </w:r>
      <w:proofErr w:type="gramStart"/>
      <w:r>
        <w:t>The majority of</w:t>
      </w:r>
      <w:proofErr w:type="gramEnd"/>
      <w:r>
        <w:t xml:space="preserve"> cells in an untreated population are in baseline metabolic states, feeding, dividing, existing commensally (</w:t>
      </w:r>
      <w:proofErr w:type="spellStart"/>
      <w:r>
        <w:t>Dumeaux</w:t>
      </w:r>
      <w:proofErr w:type="spellEnd"/>
      <w:r>
        <w:t xml:space="preserve"> et al., 2023). A subset maintains the local environment through the signaling mechanisms described above. Others lie dormant in tissue niches distant from active immune surveillance, metabolically quiescent, pre-positioned, persisting. These are the waiting cells: not managing, not feeding aggressively, simply enduring until conditions change. The organism does not need every cell to be an active coordinator. It needs enough coordinators to maintain the niche, and enough reserves to survive if the niche is disrupted.</w:t>
      </w:r>
    </w:p>
    <w:p w14:paraId="1BE48866" w14:textId="77777777" w:rsidR="00193075" w:rsidRDefault="00193075" w:rsidP="00193075">
      <w:pPr>
        <w:pStyle w:val="Heading2"/>
      </w:pPr>
      <w:r>
        <w:t>The Responsive Effector: What Controls Production?</w:t>
      </w:r>
    </w:p>
    <w:p w14:paraId="29517DB5" w14:textId="77777777" w:rsidR="00193075" w:rsidRDefault="00193075" w:rsidP="00193075">
      <w:r>
        <w:t xml:space="preserve">The effector hypothesis accounts for what farnesol does. It does not account for what controls when and how much of it the organism produces. If no farnesol receptor exists in </w:t>
      </w:r>
      <w:r w:rsidRPr="00A311F5">
        <w:rPr>
          <w:i/>
          <w:iCs/>
        </w:rPr>
        <w:t>C. albicans</w:t>
      </w:r>
      <w:r>
        <w:t xml:space="preserve">, the organism is not using its own primary output as a feedback signal. Production must therefore be governed by inputs the organism receives through other </w:t>
      </w:r>
      <w:proofErr w:type="gramStart"/>
      <w:r>
        <w:t>channels—</w:t>
      </w:r>
      <w:proofErr w:type="gramEnd"/>
      <w:r>
        <w:t>environmental and host-derived signals detected through confirmed non-farnesol sensing infrastructure.</w:t>
      </w:r>
    </w:p>
    <w:p w14:paraId="36505BA0" w14:textId="77777777" w:rsidR="00193075" w:rsidRDefault="00193075" w:rsidP="00193075">
      <w:r>
        <w:t>This reframes the absent receptor from a single anomalous observation into a design inference. The biochemical computer reads the host environment through a diverse array of confirmed input channels, adjusts its metabolic and signaling output accordingly, and ceases or modulates farnesol production when the input signals change. The effector is responsive, not constitutive. Remove the signal, and the API broadcast changes.</w:t>
      </w:r>
    </w:p>
    <w:p w14:paraId="43D7DEEB" w14:textId="77777777" w:rsidR="00193075" w:rsidRDefault="00193075" w:rsidP="00193075">
      <w:pPr>
        <w:pStyle w:val="Heading2"/>
      </w:pPr>
      <w:r>
        <w:t>The Confirmed Input Channel Inventory</w:t>
      </w:r>
    </w:p>
    <w:p w14:paraId="4B8FB663" w14:textId="77777777" w:rsidR="00193075" w:rsidRDefault="00193075" w:rsidP="00193075">
      <w:r>
        <w:t xml:space="preserve">The scope of the organism’s environmental sensing is substantially broader than the quorum-sensing model implies. </w:t>
      </w:r>
      <w:r w:rsidRPr="00A311F5">
        <w:rPr>
          <w:i/>
          <w:iCs/>
        </w:rPr>
        <w:t>C. albicans</w:t>
      </w:r>
      <w:r>
        <w:t xml:space="preserve"> possesses confirmed receptors or binding proteins for at least eight classes of host signal, in addition to multiple environmental sensing modalities:</w:t>
      </w:r>
    </w:p>
    <w:p w14:paraId="208FF468" w14:textId="2DFF2612" w:rsidR="009D1EE2" w:rsidRDefault="00193075" w:rsidP="004D0185">
      <w:pPr>
        <w:pStyle w:val="Heading3"/>
        <w:ind w:firstLine="0"/>
      </w:pPr>
      <w:r>
        <w:t>Reproductive endocrine axis</w:t>
      </w:r>
    </w:p>
    <w:p w14:paraId="6354C5B6" w14:textId="39417E1D" w:rsidR="00193075" w:rsidRDefault="00193075" w:rsidP="00193075">
      <w:r w:rsidRPr="00A311F5">
        <w:rPr>
          <w:i/>
          <w:iCs/>
        </w:rPr>
        <w:t>C. albican</w:t>
      </w:r>
      <w:r>
        <w:t xml:space="preserve">s possesses a dedicated estrogen-binding protein (Ebp1) that binds mammalian estrogens with high affinity, and estradiol directly stimulates the yeast-to-hyphal morphological transition in a dose-dependent manner (Feldman et al., 1982; Zhang et al., 2000; Cheng et al., 2006). Estrogen-adapted </w:t>
      </w:r>
      <w:r w:rsidRPr="00A311F5">
        <w:rPr>
          <w:i/>
          <w:iCs/>
        </w:rPr>
        <w:t>C. albicans</w:t>
      </w:r>
      <w:r>
        <w:t xml:space="preserve"> </w:t>
      </w:r>
      <w:proofErr w:type="gramStart"/>
      <w:r>
        <w:t>evades</w:t>
      </w:r>
      <w:proofErr w:type="gramEnd"/>
      <w:r>
        <w:t xml:space="preserve"> innate immune detection through enhanced acquisition of the complement regulatory protein Factor H via the cell surface protein Gpd2 (Kumwenda et al., 2022). Specific, high-affinity binding sites for human luteinizing hormone (</w:t>
      </w:r>
      <w:proofErr w:type="spellStart"/>
      <w:r>
        <w:t>hLH</w:t>
      </w:r>
      <w:proofErr w:type="spellEnd"/>
      <w:r>
        <w:t>) and human chorionic gonadotrophin (</w:t>
      </w:r>
      <w:proofErr w:type="spellStart"/>
      <w:r>
        <w:t>hCG</w:t>
      </w:r>
      <w:proofErr w:type="spellEnd"/>
      <w:r>
        <w:t xml:space="preserve">) have been characterized in Candida species, with binding producing receptor-mediated elevation of adenylate cyclase—a functional intracellular signaling cascade (Bramley et al., 1990; 1991; Williams et al., 1990). </w:t>
      </w:r>
      <w:proofErr w:type="spellStart"/>
      <w:r>
        <w:t>hLH</w:t>
      </w:r>
      <w:proofErr w:type="spellEnd"/>
      <w:r>
        <w:t xml:space="preserve"> and </w:t>
      </w:r>
      <w:proofErr w:type="spellStart"/>
      <w:r>
        <w:t>hCG</w:t>
      </w:r>
      <w:proofErr w:type="spellEnd"/>
      <w:r>
        <w:t xml:space="preserve"> increase the rate of yeast-to-mycelium transition. The response is specific: human follicle-stimulating hormone (</w:t>
      </w:r>
      <w:proofErr w:type="spellStart"/>
      <w:r>
        <w:t>hFSH</w:t>
      </w:r>
      <w:proofErr w:type="spellEnd"/>
      <w:r>
        <w:t>), thyroid-stimulating hormone (</w:t>
      </w:r>
      <w:proofErr w:type="spellStart"/>
      <w:r>
        <w:t>hTSH</w:t>
      </w:r>
      <w:proofErr w:type="spellEnd"/>
      <w:r>
        <w:t>), growth hormone (</w:t>
      </w:r>
      <w:proofErr w:type="spellStart"/>
      <w:r>
        <w:t>hGH</w:t>
      </w:r>
      <w:proofErr w:type="spellEnd"/>
      <w:r>
        <w:t>), and prolactin (</w:t>
      </w:r>
      <w:proofErr w:type="spellStart"/>
      <w:r>
        <w:t>hPrl</w:t>
      </w:r>
      <w:proofErr w:type="spellEnd"/>
      <w:r>
        <w:t>) did not affect the transition (Kinsman et al., 1988). The organism reads the pituitary hormone that triggers ovulation and drives testosterone production in Leydig cells.</w:t>
      </w:r>
    </w:p>
    <w:p w14:paraId="5D835D21" w14:textId="6335B0C9" w:rsidR="009D1EE2" w:rsidRDefault="00193075" w:rsidP="00556297">
      <w:pPr>
        <w:pStyle w:val="Heading3"/>
        <w:ind w:firstLine="0"/>
      </w:pPr>
      <w:r>
        <w:t>Steroid and androgen sensing</w:t>
      </w:r>
    </w:p>
    <w:p w14:paraId="4631B77A" w14:textId="46BD0C08" w:rsidR="00193075" w:rsidRDefault="00193075" w:rsidP="00193075">
      <w:r w:rsidRPr="00A311F5">
        <w:rPr>
          <w:i/>
          <w:iCs/>
        </w:rPr>
        <w:t>C. albicans</w:t>
      </w:r>
      <w:r>
        <w:t xml:space="preserve"> possesses sterol-binding proteins that respond to androgenic sterols (reviewed in Stevens, 2010). The organism can convert </w:t>
      </w:r>
      <w:proofErr w:type="spellStart"/>
      <w:r>
        <w:t>androstenediol</w:t>
      </w:r>
      <w:proofErr w:type="spellEnd"/>
      <w:r>
        <w:t xml:space="preserve"> and androstenedione into testosterone de novo. Androgenic anabolic steroids increase </w:t>
      </w:r>
      <w:r w:rsidRPr="00A311F5">
        <w:rPr>
          <w:i/>
          <w:iCs/>
        </w:rPr>
        <w:t>C. albicans</w:t>
      </w:r>
      <w:r>
        <w:t xml:space="preserve"> biomass and proteolytic activity in a dose-dependent manner (2019). Male mice are significantly more susceptible to </w:t>
      </w:r>
      <w:r>
        <w:lastRenderedPageBreak/>
        <w:t xml:space="preserve">systemic </w:t>
      </w:r>
      <w:r w:rsidRPr="00A311F5">
        <w:rPr>
          <w:i/>
          <w:iCs/>
        </w:rPr>
        <w:t>C. albicans</w:t>
      </w:r>
      <w:r>
        <w:t xml:space="preserve"> than female mice; gonadectomized males match female resistance; supplementation with 5α-dihydrotestosterone restores susceptibility in both sexes (Arroyo-Mendoza et al., 2020). The organism’s relationship with the host androgen environment is bidirectional: it senses androgens, its virulence is modulated by them, and it can synthesize testosterone from precursors.</w:t>
      </w:r>
    </w:p>
    <w:p w14:paraId="1561E79C" w14:textId="3FEA9FCF" w:rsidR="009D1EE2" w:rsidRDefault="00193075" w:rsidP="00556297">
      <w:pPr>
        <w:pStyle w:val="Heading3"/>
        <w:ind w:firstLine="0"/>
      </w:pPr>
      <w:r>
        <w:t>Stress hormone axis</w:t>
      </w:r>
    </w:p>
    <w:p w14:paraId="7C588D6C" w14:textId="30645D74" w:rsidR="00193075" w:rsidRDefault="00193075" w:rsidP="00193075">
      <w:r>
        <w:t xml:space="preserve">A corticosteroid-binding protein with high affinity for corticosterone and progesterone has been characterized </w:t>
      </w:r>
      <w:proofErr w:type="gramStart"/>
      <w:r>
        <w:t>in</w:t>
      </w:r>
      <w:proofErr w:type="gramEnd"/>
      <w:r>
        <w:t xml:space="preserve"> </w:t>
      </w:r>
      <w:r w:rsidRPr="00A311F5">
        <w:rPr>
          <w:i/>
          <w:iCs/>
        </w:rPr>
        <w:t>C. albicans</w:t>
      </w:r>
      <w:r>
        <w:t xml:space="preserve"> (Loose and Feldman, 1981; 1982). This places the organism at the interface of the host’s hypothalamic-pituitary-adrenal (HPA) axis, sensing the primary stress hormone output.</w:t>
      </w:r>
    </w:p>
    <w:p w14:paraId="550DBF7B" w14:textId="77777777" w:rsidR="009D1EE2" w:rsidRDefault="00193075" w:rsidP="00556297">
      <w:pPr>
        <w:pStyle w:val="Heading3"/>
        <w:ind w:firstLine="0"/>
      </w:pPr>
      <w:r>
        <w:t>Cholinergic system</w:t>
      </w:r>
    </w:p>
    <w:p w14:paraId="6C365AB9" w14:textId="09ED7A7E" w:rsidR="00193075" w:rsidRDefault="00193075" w:rsidP="00193075">
      <w:r>
        <w:t xml:space="preserve">As described in Section 5.5, </w:t>
      </w:r>
      <w:r w:rsidRPr="00A311F5">
        <w:rPr>
          <w:i/>
          <w:iCs/>
        </w:rPr>
        <w:t>C. albicans</w:t>
      </w:r>
      <w:r>
        <w:t xml:space="preserve"> possesses a functional muscarinic receptor responsive to acetylcholine (Nile et al., 2018; Rajendran et al., 2015). Acetylcholine is the primary neurotransmitter of the parasympathetic nervous system and the </w:t>
      </w:r>
      <w:proofErr w:type="spellStart"/>
      <w:r>
        <w:t>vagus</w:t>
      </w:r>
      <w:proofErr w:type="spellEnd"/>
      <w:r>
        <w:t xml:space="preserve"> </w:t>
      </w:r>
      <w:proofErr w:type="gramStart"/>
      <w:r>
        <w:t>nerve, and</w:t>
      </w:r>
      <w:proofErr w:type="gramEnd"/>
      <w:r>
        <w:t xml:space="preserve"> is the principal mediator of heart rate deceleration through muscarinic M2 receptors on the sinoatrial node. An organism with a confirmed muscarinic receptor, residing in the gut—the primary innervation territory of the </w:t>
      </w:r>
      <w:proofErr w:type="spellStart"/>
      <w:r>
        <w:t>vagus</w:t>
      </w:r>
      <w:proofErr w:type="spellEnd"/>
      <w:r>
        <w:t xml:space="preserve"> nerve—has direct access to the parasympathetic arm of autonomic cardiac regulation. This connects the cholinergic interface described in Section 5.5 to the cardiac perfusion architecture described in Section 4.3.</w:t>
      </w:r>
    </w:p>
    <w:p w14:paraId="6CD471B7" w14:textId="77777777" w:rsidR="009D1EE2" w:rsidRDefault="00193075" w:rsidP="00556297">
      <w:pPr>
        <w:pStyle w:val="Heading3"/>
        <w:ind w:firstLine="0"/>
      </w:pPr>
      <w:r>
        <w:t>Dopaminergic signaling</w:t>
      </w:r>
    </w:p>
    <w:p w14:paraId="7C435A06" w14:textId="76AD2E41" w:rsidR="00193075" w:rsidRDefault="00193075" w:rsidP="00193075">
      <w:r>
        <w:rPr>
          <w:b/>
          <w:i/>
        </w:rPr>
        <w:t xml:space="preserve"> </w:t>
      </w:r>
      <w:r>
        <w:t xml:space="preserve">Clozapine, an antipsychotic that blocks G-protein-coupled dopamine receptors, inhibits </w:t>
      </w:r>
      <w:r w:rsidRPr="00A311F5">
        <w:rPr>
          <w:i/>
          <w:iCs/>
        </w:rPr>
        <w:t>C. albican</w:t>
      </w:r>
      <w:r>
        <w:t xml:space="preserve">s morphogenesis through the Gpr1 receptor, a confirmed GPCR in </w:t>
      </w:r>
      <w:r w:rsidRPr="00A311F5">
        <w:rPr>
          <w:i/>
          <w:iCs/>
        </w:rPr>
        <w:t>C. albicans</w:t>
      </w:r>
      <w:r>
        <w:t xml:space="preserve"> that feeds into the cAMP-PKA signaling cascade (Midkiff et al., 2011). While no dedicated dopamine receptor has been identified, the organism’s primary morphogenetic GPCR responds to a dopamine receptor antagonist, indicating functional overlap between the organism’s environmental sensing and the host’s dopaminergic signaling landscape.</w:t>
      </w:r>
    </w:p>
    <w:p w14:paraId="3EB36619" w14:textId="77777777" w:rsidR="009D1EE2" w:rsidRDefault="00193075" w:rsidP="00556297">
      <w:pPr>
        <w:pStyle w:val="Heading3"/>
        <w:ind w:firstLine="0"/>
      </w:pPr>
      <w:r>
        <w:t>Environmental sensing modalities</w:t>
      </w:r>
    </w:p>
    <w:p w14:paraId="3EE18AE5" w14:textId="2CA7EF43" w:rsidR="00193075" w:rsidRDefault="00193075" w:rsidP="00193075">
      <w:r>
        <w:t>The organism detects temperature through the molecular chaperone Hsp90, which functions as a thermometer: its activity changes with temperature, releasing client proteins that activate morphogenetic programs at 37°C (Shapiro et al., 2009). CO₂ and bicarbonate are sensed directly by the adenylyl cyclase Cyr1, which integrates this signal into the cAMP-PKA pathway governing morphogenesis (Hall et al., 2010). Amino acid availability is monitored through the SPS (Ssy1-Ptr3-Ssy5) sensor system, which regulates permease expression and feeds into the alkalinization program described in Section 5.5e (</w:t>
      </w:r>
      <w:proofErr w:type="spellStart"/>
      <w:r>
        <w:t>Vylkova</w:t>
      </w:r>
      <w:proofErr w:type="spellEnd"/>
      <w:r>
        <w:t xml:space="preserve"> et al., 2011). Extracellular pH is sensed through the Rim101 pathway. </w:t>
      </w:r>
    </w:p>
    <w:p w14:paraId="300C651D" w14:textId="77777777" w:rsidR="009D1EE2" w:rsidRDefault="00C82A31" w:rsidP="004D0185">
      <w:pPr>
        <w:pStyle w:val="Heading3"/>
        <w:ind w:firstLine="0"/>
      </w:pPr>
      <w:r w:rsidRPr="00C82A31">
        <w:t>Glucose sensing</w:t>
      </w:r>
    </w:p>
    <w:p w14:paraId="62151962" w14:textId="668FE1B9" w:rsidR="00C82A31" w:rsidRPr="00C82A31" w:rsidRDefault="00C82A31" w:rsidP="00DC1DEA">
      <w:r w:rsidRPr="00C82A31">
        <w:t xml:space="preserve"> The organism's glucose detection operates through a dedicated membrane-bound sensor, Hgt4, that is structurally related to hexose transporters but has lost transport function and instead generates an intracellular signal upon glucose binding (Brown et al., 2006). Hgt4 is a high-affinity glucose receptor whose sensitivity is calibrated to concentrations of approximately 5 mM — the normal glucose concentration in human blood (Brown et al., 2006). This is </w:t>
      </w:r>
      <w:r w:rsidRPr="00C82A31">
        <w:rPr>
          <w:i/>
          <w:iCs/>
        </w:rPr>
        <w:t>not</w:t>
      </w:r>
      <w:r w:rsidRPr="00C82A31">
        <w:t xml:space="preserve"> a coincidence. The organism's glucose sensor is tuned to the metabolic environment it inhabits. HGT4 expression is repressed when glucose is abundant and induced when glucose is scarce, </w:t>
      </w:r>
      <w:r w:rsidRPr="00C82A31">
        <w:lastRenderedPageBreak/>
        <w:t>ensuring the organism monitors the substrate that matters most when it is most informative: during depletion. Deletion of HGT4 impairs both growth on fermentable sugars and the yeast-to-hyphal morphological transition;</w:t>
      </w:r>
      <w:r w:rsidRPr="00C82A31">
        <w:t xml:space="preserve"> </w:t>
      </w:r>
      <w:r w:rsidRPr="00C82A31">
        <w:t>a mutant form of Hgt4 locked in the 'on' position</w:t>
      </w:r>
      <w:r>
        <w:t xml:space="preserve"> </w:t>
      </w:r>
      <w:r w:rsidRPr="00C82A31">
        <w:t xml:space="preserve">produces </w:t>
      </w:r>
      <w:proofErr w:type="spellStart"/>
      <w:r w:rsidRPr="00C82A31">
        <w:t>hyperfilamentation</w:t>
      </w:r>
      <w:proofErr w:type="spellEnd"/>
      <w:r w:rsidRPr="00C82A31">
        <w:t xml:space="preserve"> (Brown et al., 2006). Glucose sensing is thus directly coupled to the organism's primary morphogenetic decision. The organism does not merely eat glucose. It reads glucose concentration as a signal governing tissue engagement.</w:t>
      </w:r>
    </w:p>
    <w:p w14:paraId="5E7BBEA9" w14:textId="4F337AAF" w:rsidR="00C82A31" w:rsidRPr="00C82A31" w:rsidRDefault="00C82A31" w:rsidP="00DC1DEA">
      <w:r w:rsidRPr="00C82A31">
        <w:t xml:space="preserve">This architecture is complemented by a second layer of glucose responsiveness operating through intracellular phosphorylation. </w:t>
      </w:r>
      <w:r w:rsidRPr="00A311F5">
        <w:rPr>
          <w:i/>
          <w:iCs/>
        </w:rPr>
        <w:t>C. albicans</w:t>
      </w:r>
      <w:r w:rsidRPr="00C82A31">
        <w:t xml:space="preserve"> modulates the expression of central metabolic genes in response to glucose concentrations as low as 0.01%</w:t>
      </w:r>
      <w:r w:rsidR="000E5810">
        <w:t xml:space="preserve">, values </w:t>
      </w:r>
      <w:r w:rsidRPr="00C82A31">
        <w:t>well below the 0.05–0.1% range maintained in human blood (</w:t>
      </w:r>
      <w:proofErr w:type="spellStart"/>
      <w:r w:rsidRPr="00C82A31">
        <w:t>Rodaki</w:t>
      </w:r>
      <w:proofErr w:type="spellEnd"/>
      <w:r w:rsidRPr="00C82A31">
        <w:t xml:space="preserve"> et al., 2009). At these concentrations, glucose also induces oxidative and cationic stress resistance and azole antifungal tolerance, responses absent in the model yeast S. cerevisiae, where glucose suppresses stress responses (</w:t>
      </w:r>
      <w:proofErr w:type="spellStart"/>
      <w:r w:rsidRPr="00C82A31">
        <w:t>Rodaki</w:t>
      </w:r>
      <w:proofErr w:type="spellEnd"/>
      <w:r w:rsidRPr="00C82A31">
        <w:t xml:space="preserve"> et al., 2009). The organism has rewired glucose sensing from a purely metabolic input into an integrated environmental assessment: glucose availability informs not only what to eat but how to defend itself.</w:t>
      </w:r>
    </w:p>
    <w:p w14:paraId="4C4E2F1D" w14:textId="2AE9373A" w:rsidR="00C82A31" w:rsidRDefault="00C82A31" w:rsidP="00DC1DEA">
      <w:r w:rsidRPr="00C82A31">
        <w:t xml:space="preserve">A third glucose-responsive pathway operates through the Gpr1 GPCR and its cognate Gα protein Gpa2, feeding into the cAMP-PKA signaling cascade that governs morphogenesis. However, a critical divergence has occurred in the 200 million years since </w:t>
      </w:r>
      <w:r w:rsidRPr="00A311F5">
        <w:rPr>
          <w:i/>
          <w:iCs/>
        </w:rPr>
        <w:t xml:space="preserve">C. </w:t>
      </w:r>
      <w:proofErr w:type="gramStart"/>
      <w:r w:rsidRPr="00A311F5">
        <w:rPr>
          <w:i/>
          <w:iCs/>
        </w:rPr>
        <w:t>albicans</w:t>
      </w:r>
      <w:proofErr w:type="gramEnd"/>
      <w:r w:rsidRPr="00C82A31">
        <w:t xml:space="preserve"> and S. cerevisiae last shared a common ancestor. In S. cerevisiae, Gpr1 senses glucose directly. In </w:t>
      </w:r>
      <w:r w:rsidRPr="00A311F5">
        <w:rPr>
          <w:i/>
          <w:iCs/>
        </w:rPr>
        <w:t>C. albicans</w:t>
      </w:r>
      <w:r w:rsidRPr="00C82A31">
        <w:t xml:space="preserve">, Gpr1 does not respond to glucose; its confirmed ligands are lactate and methionine (Maidan et al., 2005; Ballou et al., 2016; </w:t>
      </w:r>
      <w:proofErr w:type="spellStart"/>
      <w:r w:rsidRPr="00C82A31">
        <w:t>Schrevens</w:t>
      </w:r>
      <w:proofErr w:type="spellEnd"/>
      <w:r w:rsidRPr="00C82A31">
        <w:t xml:space="preserve"> et al., 2018). This rewiring is informative within the </w:t>
      </w:r>
      <w:r w:rsidR="00DD6777">
        <w:t>coevolution</w:t>
      </w:r>
      <w:r w:rsidRPr="00C82A31">
        <w:t>ary framework. Lactate is the metabolic byproduct of immune cell glycolysis during the respiratory burst — macrophages and neutrophils actively engaged in antimicrobial activity produce lactate as a waste product of their own upregulated glycolytic metabolism. An organism that repurposed a sugar sensor into a lactate sensor has converted a nutrient detector into an immune activity detector. It reads the metabolic exhaust of the cells trying to kill it. Methionine, the second confirmed Gpr1 ligand, is the initiator amino acid for all eukaryotic protein translation and a key methyl donor in one-carbon metabolism, providing the organism with information about the host's biosynthetic activity. The Gpr1 pathway thus provides the organism with two streams of host-state information — immune engagement and biosynthetic tempo — through a receptor that its free-living ancestor used to find sugar.</w:t>
      </w:r>
    </w:p>
    <w:p w14:paraId="0DEE3081" w14:textId="77777777" w:rsidR="009D1EE2" w:rsidRDefault="009D1EE2" w:rsidP="00556297">
      <w:pPr>
        <w:pStyle w:val="Heading3"/>
        <w:ind w:firstLine="0"/>
      </w:pPr>
      <w:r w:rsidRPr="009D1EE2">
        <w:t>Oxygen tension</w:t>
      </w:r>
    </w:p>
    <w:p w14:paraId="3F0BE18D" w14:textId="5DC3CD08" w:rsidR="009D1EE2" w:rsidRPr="009D1EE2" w:rsidRDefault="009D1EE2" w:rsidP="00DC1DEA">
      <w:r w:rsidRPr="00A311F5">
        <w:rPr>
          <w:i/>
          <w:iCs/>
        </w:rPr>
        <w:t>C. albicans</w:t>
      </w:r>
      <w:r w:rsidRPr="009D1EE2">
        <w:t xml:space="preserve"> colonizes niches spanning the full range of oxygen availability in the human body, from the well-oxygenated skin and bloodstream to the significantly hypoxic lower gastrointestinal tract and the near-anoxic interior of the macrophage phagosome (Grahl et al., 2012). Its capacity to operate across this range is not passive tolerance but active sensing and metabolic reconfiguration. Upon encountering low oxygen, the organism executes a comprehensive transcriptional response within minutes: glycolytic and fermentative genes are upregulated, oxidative metabolism genes are repressed, and hypha-specific genes are induced (Setiadi et al., 2006). This response is remarkably fast</w:t>
      </w:r>
      <w:r w:rsidR="000E5810">
        <w:t>. S</w:t>
      </w:r>
      <w:r w:rsidRPr="009D1EE2">
        <w:t xml:space="preserve">ignificant transcriptional changes occur within five minutes of oxygen depletion, suggesting that a rapid-onset cue such as ATP depletion from reduced oxidative phosphorylation may serve as the initial alarm (Sellam et al., 2014). The organism senses oxygen depletion through at least two independent mechanisms: a sterol-sensing pathway through the transcription factor Upc2, in which declining ergosterol synthesis (which requires twelve molecules of oxygen per squalene-to-ergosterol conversion) serves as a proxy for oxygen availability (Synnott et al., 2010); and a sterol-independent pathway regulating glycolytic </w:t>
      </w:r>
      <w:r w:rsidRPr="009D1EE2">
        <w:lastRenderedPageBreak/>
        <w:t>gene expression through the transcription factors Gal4 and Tye7 (Askew et al., 2009).</w:t>
      </w:r>
      <w:r w:rsidRPr="00A311F5">
        <w:rPr>
          <w:i/>
          <w:iCs/>
        </w:rPr>
        <w:t xml:space="preserve"> C. albicans</w:t>
      </w:r>
      <w:r w:rsidRPr="009D1EE2">
        <w:t xml:space="preserve"> lacks any ortholog of the mammalian HIF-1α transcription factor that governs hypoxic adaptation in host cells (Synnott et al., 2010), yet achieves the same functional outcome</w:t>
      </w:r>
      <w:r w:rsidR="00A5792C">
        <w:t xml:space="preserve">, </w:t>
      </w:r>
      <w:proofErr w:type="spellStart"/>
      <w:r w:rsidR="00A5792C">
        <w:t>ie</w:t>
      </w:r>
      <w:proofErr w:type="spellEnd"/>
      <w:r w:rsidR="00A5792C">
        <w:t xml:space="preserve">. </w:t>
      </w:r>
      <w:r w:rsidRPr="009D1EE2">
        <w:t>metabolic switching from oxidative to fermentative</w:t>
      </w:r>
      <w:r w:rsidR="00A5792C">
        <w:t>,</w:t>
      </w:r>
      <w:r w:rsidRPr="009D1EE2">
        <w:t xml:space="preserve"> through entirely different molecular machinery. </w:t>
      </w:r>
      <w:r w:rsidR="00A5792C">
        <w:t>Thus, the biochemical computer achieves the same solution via wholly different engineering.</w:t>
      </w:r>
    </w:p>
    <w:p w14:paraId="45D8BAE9" w14:textId="1D89ABCE" w:rsidR="009D1EE2" w:rsidRPr="009D1EE2" w:rsidRDefault="009D1EE2" w:rsidP="00DC1DEA">
      <w:r w:rsidRPr="009D1EE2">
        <w:t xml:space="preserve">The </w:t>
      </w:r>
      <w:proofErr w:type="gramStart"/>
      <w:r w:rsidRPr="009D1EE2">
        <w:t>coupling</w:t>
      </w:r>
      <w:proofErr w:type="gramEnd"/>
      <w:r w:rsidRPr="009D1EE2">
        <w:t xml:space="preserve"> between oxygen sensing and virulence extends beyond metabolism. Under hypoxic conditions, </w:t>
      </w:r>
      <w:r w:rsidRPr="00A311F5">
        <w:rPr>
          <w:i/>
          <w:iCs/>
        </w:rPr>
        <w:t>C. albicans</w:t>
      </w:r>
      <w:r w:rsidRPr="009D1EE2">
        <w:t xml:space="preserve"> remodels its cell wall to mask β-glucan</w:t>
      </w:r>
      <w:r w:rsidR="005B184C">
        <w:t>,</w:t>
      </w:r>
      <w:r w:rsidRPr="009D1EE2">
        <w:t xml:space="preserve"> the primary carbohydrate recognized by the innate immune receptor Dectin-1</w:t>
      </w:r>
      <w:r w:rsidR="005B184C">
        <w:t xml:space="preserve">, </w:t>
      </w:r>
      <w:r w:rsidRPr="009D1EE2">
        <w:t>from the cell surface, reducing phagocytic recognition by macrophages and neutrophils (Pradhan et al., 2018). This masking is mediated through mitochondrial signaling and the cAMP-protein kinase A pathway, connecting oxygen sensing directly to immune evasion through the same signaling cascade that governs morphogenesis. An organism that becomes harder to detect by the immune system precisely when it enters the low-oxygen environments of deep tissue colonization has coupled its environmental sensing to its survival strategy. In the context of the Saline Oscillation Hypothesis, the oxygen-sensing architecture intersects with the substrate multiplexing model described in Section 5.10: oxygen tension tells the organism which metabolic channels to weight, shifting from oxidative to fermentative processing as it moves from aerobic to hypoxic niches within the host. The glucose sensor Hgt4, described above, is particularly important under hypoxic conditions — HGT4 deletion impairs growth on fermentable sugars most severely when respiration is reduced (Brown et al., 2006), indicating that glucose sensing and oxygen sensing are functionally linked. The organism does not sense these parameters independently. It integrates them.</w:t>
      </w:r>
    </w:p>
    <w:p w14:paraId="090D5782" w14:textId="33967778" w:rsidR="009D1EE2" w:rsidRPr="00C82A31" w:rsidRDefault="009D1EE2" w:rsidP="00556297">
      <w:pPr>
        <w:pStyle w:val="Heading3"/>
        <w:ind w:firstLine="0"/>
      </w:pPr>
      <w:r>
        <w:t>Input Channel Summary</w:t>
      </w:r>
    </w:p>
    <w:p w14:paraId="6D9A50A0" w14:textId="7931B81A" w:rsidR="00193075" w:rsidRDefault="00C82A31" w:rsidP="00193075">
      <w:r w:rsidRPr="00C82A31">
        <w:t>In total, the organism possesses confirmed receptors or binding proteins for estrogen, luteinizing hormone, corticosteroids, progesterone, androgens, and acetylcholine, plus environmental sensors for glucose (Hgt4, calibrated to human blood concentrations), lactate and methionine (Gpr1), temperature, CO₂, pH, amino acid availability, and oxygen tension</w:t>
      </w:r>
      <w:r>
        <w:t xml:space="preserve">.  </w:t>
      </w:r>
      <w:r w:rsidR="00193075">
        <w:t xml:space="preserve">This inventory is almost certainly incomplete. Approximately 1,300 </w:t>
      </w:r>
      <w:r w:rsidR="00193075" w:rsidRPr="00A311F5">
        <w:rPr>
          <w:i/>
          <w:iCs/>
        </w:rPr>
        <w:t>C. albicans</w:t>
      </w:r>
      <w:r w:rsidR="00193075">
        <w:t xml:space="preserve"> genes have no orthologs in other yeast species and remain functionally uncharacterized. The organism’s input channel list is defined by what researchers have tested, not by what the organism detects. The absence of evidence for sensing of thyroid hormones, natriuretic peptides, oxytocin, or erythropoietin reflects the fact that these interactions have never been investigated, not that they do not occur.</w:t>
      </w:r>
    </w:p>
    <w:p w14:paraId="5413F75F" w14:textId="4A0B4767" w:rsidR="00193075" w:rsidRDefault="00193075" w:rsidP="00193075">
      <w:r>
        <w:rPr>
          <w:i/>
        </w:rPr>
        <w:t xml:space="preserve">The organism has at least </w:t>
      </w:r>
      <w:r w:rsidR="00C82A31">
        <w:rPr>
          <w:i/>
        </w:rPr>
        <w:t>thirteen</w:t>
      </w:r>
      <w:r>
        <w:rPr>
          <w:i/>
        </w:rPr>
        <w:t xml:space="preserve"> confirmed ears. It has no receptor for its own primary output. It listens to the host. It does not listen to itself.</w:t>
      </w:r>
    </w:p>
    <w:p w14:paraId="1D05CB0F" w14:textId="77777777" w:rsidR="00193075" w:rsidRDefault="00193075" w:rsidP="00193075">
      <w:pPr>
        <w:pStyle w:val="Heading2"/>
      </w:pPr>
      <w:r>
        <w:t xml:space="preserve">Table 1: Confirmed Host Signal and Environmental Sensing in </w:t>
      </w:r>
      <w:r w:rsidRPr="00A311F5">
        <w:rPr>
          <w:i/>
          <w:iCs/>
        </w:rPr>
        <w:t>C. albicans</w:t>
      </w:r>
    </w:p>
    <w:tbl>
      <w:tblPr>
        <w:tblStyle w:val="LightGrid-Accent1"/>
        <w:tblW w:w="0" w:type="auto"/>
        <w:jc w:val="center"/>
        <w:tblLook w:val="04A0" w:firstRow="1" w:lastRow="0" w:firstColumn="1" w:lastColumn="0" w:noHBand="0" w:noVBand="1"/>
      </w:tblPr>
      <w:tblGrid>
        <w:gridCol w:w="2029"/>
        <w:gridCol w:w="2020"/>
        <w:gridCol w:w="1964"/>
        <w:gridCol w:w="1765"/>
        <w:gridCol w:w="1562"/>
      </w:tblGrid>
      <w:tr w:rsidR="00193075" w14:paraId="12E1897F" w14:textId="77777777" w:rsidTr="002E7F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24BC63C" w14:textId="77777777" w:rsidR="00193075" w:rsidRDefault="00193075" w:rsidP="00FC5E83">
            <w:r>
              <w:rPr>
                <w:sz w:val="18"/>
              </w:rPr>
              <w:t>Signal Class</w:t>
            </w:r>
          </w:p>
        </w:tc>
        <w:tc>
          <w:tcPr>
            <w:tcW w:w="1656" w:type="dxa"/>
          </w:tcPr>
          <w:p w14:paraId="30009FB9"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Specific Signal</w:t>
            </w:r>
          </w:p>
        </w:tc>
        <w:tc>
          <w:tcPr>
            <w:tcW w:w="2260" w:type="dxa"/>
          </w:tcPr>
          <w:p w14:paraId="22FC5154"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Receptor / Mechanism</w:t>
            </w:r>
          </w:p>
        </w:tc>
        <w:tc>
          <w:tcPr>
            <w:tcW w:w="2299" w:type="dxa"/>
          </w:tcPr>
          <w:p w14:paraId="44C8DB2F"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Functional Response</w:t>
            </w:r>
          </w:p>
        </w:tc>
        <w:tc>
          <w:tcPr>
            <w:tcW w:w="1734" w:type="dxa"/>
          </w:tcPr>
          <w:p w14:paraId="688D617B"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Key Citation(s)</w:t>
            </w:r>
          </w:p>
        </w:tc>
      </w:tr>
      <w:tr w:rsidR="00193075" w14:paraId="68D85AEC"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164907F" w14:textId="77777777" w:rsidR="00193075" w:rsidRDefault="00193075" w:rsidP="00FC5E83">
            <w:r>
              <w:rPr>
                <w:sz w:val="17"/>
              </w:rPr>
              <w:t>Reproductive</w:t>
            </w:r>
          </w:p>
        </w:tc>
        <w:tc>
          <w:tcPr>
            <w:tcW w:w="1656" w:type="dxa"/>
          </w:tcPr>
          <w:p w14:paraId="3A083D4A"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17β-Estradiol</w:t>
            </w:r>
          </w:p>
        </w:tc>
        <w:tc>
          <w:tcPr>
            <w:tcW w:w="2260" w:type="dxa"/>
          </w:tcPr>
          <w:p w14:paraId="6924221D"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Estrogen-binding protein (Ebp1)</w:t>
            </w:r>
          </w:p>
        </w:tc>
        <w:tc>
          <w:tcPr>
            <w:tcW w:w="2299" w:type="dxa"/>
          </w:tcPr>
          <w:p w14:paraId="2A3D9165"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Dose-dependent yeast-to-hyphal transition; complement evasion via Factor H/Gpd2</w:t>
            </w:r>
          </w:p>
        </w:tc>
        <w:tc>
          <w:tcPr>
            <w:tcW w:w="1734" w:type="dxa"/>
          </w:tcPr>
          <w:p w14:paraId="16FFA7E3"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Feldman et al., 1982; Kumwenda et al., 2022</w:t>
            </w:r>
          </w:p>
        </w:tc>
      </w:tr>
      <w:tr w:rsidR="00193075" w14:paraId="3AE13154"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F24F70F" w14:textId="77777777" w:rsidR="00193075" w:rsidRDefault="00193075" w:rsidP="00FC5E83">
            <w:r>
              <w:rPr>
                <w:sz w:val="17"/>
              </w:rPr>
              <w:t>Reproductive</w:t>
            </w:r>
          </w:p>
        </w:tc>
        <w:tc>
          <w:tcPr>
            <w:tcW w:w="1656" w:type="dxa"/>
          </w:tcPr>
          <w:p w14:paraId="5826E6CB"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Luteinizing hormone (</w:t>
            </w:r>
            <w:proofErr w:type="spellStart"/>
            <w:r>
              <w:rPr>
                <w:sz w:val="17"/>
              </w:rPr>
              <w:t>hLH</w:t>
            </w:r>
            <w:proofErr w:type="spellEnd"/>
            <w:r>
              <w:rPr>
                <w:sz w:val="17"/>
              </w:rPr>
              <w:t xml:space="preserve">) / </w:t>
            </w:r>
            <w:proofErr w:type="spellStart"/>
            <w:r>
              <w:rPr>
                <w:sz w:val="17"/>
              </w:rPr>
              <w:t>hCG</w:t>
            </w:r>
            <w:proofErr w:type="spellEnd"/>
          </w:p>
        </w:tc>
        <w:tc>
          <w:tcPr>
            <w:tcW w:w="2260" w:type="dxa"/>
          </w:tcPr>
          <w:p w14:paraId="6770EC9C"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 xml:space="preserve">Specific high-affinity binding sites; </w:t>
            </w:r>
            <w:r>
              <w:rPr>
                <w:sz w:val="17"/>
              </w:rPr>
              <w:lastRenderedPageBreak/>
              <w:t>adenylate cyclase elevation</w:t>
            </w:r>
          </w:p>
        </w:tc>
        <w:tc>
          <w:tcPr>
            <w:tcW w:w="2299" w:type="dxa"/>
          </w:tcPr>
          <w:p w14:paraId="723207F7"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lastRenderedPageBreak/>
              <w:t xml:space="preserve">Increased yeast-to-mycelium transition; </w:t>
            </w:r>
            <w:r>
              <w:rPr>
                <w:sz w:val="17"/>
              </w:rPr>
              <w:lastRenderedPageBreak/>
              <w:t>intracellular cAMP cascade</w:t>
            </w:r>
          </w:p>
        </w:tc>
        <w:tc>
          <w:tcPr>
            <w:tcW w:w="1734" w:type="dxa"/>
          </w:tcPr>
          <w:p w14:paraId="04689322"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lastRenderedPageBreak/>
              <w:t xml:space="preserve">Bramley et al., 1990; 1991; </w:t>
            </w:r>
            <w:r>
              <w:rPr>
                <w:sz w:val="17"/>
              </w:rPr>
              <w:lastRenderedPageBreak/>
              <w:t>Williams et al., 1990</w:t>
            </w:r>
          </w:p>
        </w:tc>
      </w:tr>
      <w:tr w:rsidR="00193075" w14:paraId="22EE8C24"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C2E4346" w14:textId="77777777" w:rsidR="00193075" w:rsidRDefault="00193075" w:rsidP="00FC5E83">
            <w:r>
              <w:rPr>
                <w:sz w:val="17"/>
              </w:rPr>
              <w:lastRenderedPageBreak/>
              <w:t>Reproductive</w:t>
            </w:r>
          </w:p>
        </w:tc>
        <w:tc>
          <w:tcPr>
            <w:tcW w:w="1656" w:type="dxa"/>
          </w:tcPr>
          <w:p w14:paraId="45D7B383"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Testosterone / androgens</w:t>
            </w:r>
          </w:p>
        </w:tc>
        <w:tc>
          <w:tcPr>
            <w:tcW w:w="2260" w:type="dxa"/>
          </w:tcPr>
          <w:p w14:paraId="7F0E95C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Sterol-binding proteins</w:t>
            </w:r>
          </w:p>
        </w:tc>
        <w:tc>
          <w:tcPr>
            <w:tcW w:w="2299" w:type="dxa"/>
          </w:tcPr>
          <w:p w14:paraId="6D942644"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Increased biomass and proteolytic activity; de novo testosterone synthesis</w:t>
            </w:r>
          </w:p>
        </w:tc>
        <w:tc>
          <w:tcPr>
            <w:tcW w:w="1734" w:type="dxa"/>
          </w:tcPr>
          <w:p w14:paraId="678CE30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Steroids, 2019; Arroyo-Mendoza et al., 2020</w:t>
            </w:r>
          </w:p>
        </w:tc>
      </w:tr>
      <w:tr w:rsidR="00193075" w14:paraId="5F78273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3482F993" w14:textId="77777777" w:rsidR="00193075" w:rsidRDefault="00193075" w:rsidP="00FC5E83">
            <w:r>
              <w:rPr>
                <w:sz w:val="17"/>
              </w:rPr>
              <w:t>Stress</w:t>
            </w:r>
          </w:p>
        </w:tc>
        <w:tc>
          <w:tcPr>
            <w:tcW w:w="1656" w:type="dxa"/>
          </w:tcPr>
          <w:p w14:paraId="1FAD5498"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Corticosterone / progesterone</w:t>
            </w:r>
          </w:p>
        </w:tc>
        <w:tc>
          <w:tcPr>
            <w:tcW w:w="2260" w:type="dxa"/>
          </w:tcPr>
          <w:p w14:paraId="57931D0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Corticosteroid-binding protein (high affinity, stereospecific)</w:t>
            </w:r>
          </w:p>
        </w:tc>
        <w:tc>
          <w:tcPr>
            <w:tcW w:w="2299" w:type="dxa"/>
          </w:tcPr>
          <w:p w14:paraId="41CDEFF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Modulation of growth and morphogenesis</w:t>
            </w:r>
          </w:p>
        </w:tc>
        <w:tc>
          <w:tcPr>
            <w:tcW w:w="1734" w:type="dxa"/>
          </w:tcPr>
          <w:p w14:paraId="147B765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Loose &amp; Feldman, 1981; 1982</w:t>
            </w:r>
          </w:p>
        </w:tc>
      </w:tr>
      <w:tr w:rsidR="00193075" w14:paraId="0BFEDE23"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1F849477" w14:textId="77777777" w:rsidR="00193075" w:rsidRDefault="00193075" w:rsidP="00FC5E83">
            <w:r>
              <w:rPr>
                <w:sz w:val="17"/>
              </w:rPr>
              <w:t>Autonomic</w:t>
            </w:r>
          </w:p>
        </w:tc>
        <w:tc>
          <w:tcPr>
            <w:tcW w:w="1656" w:type="dxa"/>
          </w:tcPr>
          <w:p w14:paraId="3C4050E7"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Acetylcholine</w:t>
            </w:r>
          </w:p>
        </w:tc>
        <w:tc>
          <w:tcPr>
            <w:tcW w:w="2260" w:type="dxa"/>
          </w:tcPr>
          <w:p w14:paraId="0A6C863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Functional muscarinic receptor</w:t>
            </w:r>
          </w:p>
        </w:tc>
        <w:tc>
          <w:tcPr>
            <w:tcW w:w="2299" w:type="dxa"/>
          </w:tcPr>
          <w:p w14:paraId="006491D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Inhibition of biofilm formation; modulation of morphological transition</w:t>
            </w:r>
          </w:p>
        </w:tc>
        <w:tc>
          <w:tcPr>
            <w:tcW w:w="1734" w:type="dxa"/>
          </w:tcPr>
          <w:p w14:paraId="2D3CAE7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Nile et al., 2018; Rajendran et al., 2015</w:t>
            </w:r>
          </w:p>
        </w:tc>
      </w:tr>
      <w:tr w:rsidR="00193075" w14:paraId="6A38369A"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B9C95B8" w14:textId="77777777" w:rsidR="00193075" w:rsidRDefault="00193075" w:rsidP="00FC5E83">
            <w:r>
              <w:rPr>
                <w:sz w:val="17"/>
              </w:rPr>
              <w:t>Dopaminergic</w:t>
            </w:r>
          </w:p>
        </w:tc>
        <w:tc>
          <w:tcPr>
            <w:tcW w:w="1656" w:type="dxa"/>
          </w:tcPr>
          <w:p w14:paraId="512885B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Dopamine (indirect)</w:t>
            </w:r>
          </w:p>
        </w:tc>
        <w:tc>
          <w:tcPr>
            <w:tcW w:w="2260" w:type="dxa"/>
          </w:tcPr>
          <w:p w14:paraId="1A9F91F5"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Gpr1 GPCR (responds to dopamine receptor antagonist clozapine)</w:t>
            </w:r>
          </w:p>
        </w:tc>
        <w:tc>
          <w:tcPr>
            <w:tcW w:w="2299" w:type="dxa"/>
          </w:tcPr>
          <w:p w14:paraId="76AF25D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Inhibition of morphogenesis via cAMP-PKA pathway</w:t>
            </w:r>
          </w:p>
        </w:tc>
        <w:tc>
          <w:tcPr>
            <w:tcW w:w="1734" w:type="dxa"/>
          </w:tcPr>
          <w:p w14:paraId="384C8287"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Midkiff et al., 2011</w:t>
            </w:r>
          </w:p>
        </w:tc>
      </w:tr>
      <w:tr w:rsidR="00193075" w14:paraId="1C03A292"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993AFAE" w14:textId="77777777" w:rsidR="00193075" w:rsidRDefault="00193075" w:rsidP="00FC5E83">
            <w:r>
              <w:rPr>
                <w:sz w:val="17"/>
              </w:rPr>
              <w:t>Environmental</w:t>
            </w:r>
          </w:p>
        </w:tc>
        <w:tc>
          <w:tcPr>
            <w:tcW w:w="1656" w:type="dxa"/>
          </w:tcPr>
          <w:p w14:paraId="01C751C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Temperature (37°C)</w:t>
            </w:r>
          </w:p>
        </w:tc>
        <w:tc>
          <w:tcPr>
            <w:tcW w:w="2260" w:type="dxa"/>
          </w:tcPr>
          <w:p w14:paraId="5697D451"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Hsp90 molecular chaperone</w:t>
            </w:r>
          </w:p>
        </w:tc>
        <w:tc>
          <w:tcPr>
            <w:tcW w:w="2299" w:type="dxa"/>
          </w:tcPr>
          <w:p w14:paraId="19B90FA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Activation of hyphal morphogenetic programs</w:t>
            </w:r>
          </w:p>
        </w:tc>
        <w:tc>
          <w:tcPr>
            <w:tcW w:w="1734" w:type="dxa"/>
          </w:tcPr>
          <w:p w14:paraId="6B9A5D8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Shapiro et al., 2009</w:t>
            </w:r>
          </w:p>
        </w:tc>
      </w:tr>
      <w:tr w:rsidR="00193075" w14:paraId="2A92A8D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280854B" w14:textId="77777777" w:rsidR="00193075" w:rsidRDefault="00193075" w:rsidP="00FC5E83">
            <w:r>
              <w:rPr>
                <w:sz w:val="17"/>
              </w:rPr>
              <w:t>Environmental</w:t>
            </w:r>
          </w:p>
        </w:tc>
        <w:tc>
          <w:tcPr>
            <w:tcW w:w="1656" w:type="dxa"/>
          </w:tcPr>
          <w:p w14:paraId="27866850"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CO₂ / bicarbonate</w:t>
            </w:r>
          </w:p>
        </w:tc>
        <w:tc>
          <w:tcPr>
            <w:tcW w:w="2260" w:type="dxa"/>
          </w:tcPr>
          <w:p w14:paraId="6A5C854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Adenylyl cyclase Cyr1 (direct binding)</w:t>
            </w:r>
          </w:p>
        </w:tc>
        <w:tc>
          <w:tcPr>
            <w:tcW w:w="2299" w:type="dxa"/>
          </w:tcPr>
          <w:p w14:paraId="7A71C1D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Activation of cAMP-PKA morphogenesis pathway</w:t>
            </w:r>
          </w:p>
        </w:tc>
        <w:tc>
          <w:tcPr>
            <w:tcW w:w="1734" w:type="dxa"/>
          </w:tcPr>
          <w:p w14:paraId="792564A3"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Hall et al., 2010</w:t>
            </w:r>
          </w:p>
        </w:tc>
      </w:tr>
      <w:tr w:rsidR="00193075" w14:paraId="67B5EBF0"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7642209" w14:textId="77777777" w:rsidR="00193075" w:rsidRDefault="00193075" w:rsidP="00FC5E83">
            <w:r>
              <w:rPr>
                <w:sz w:val="17"/>
              </w:rPr>
              <w:t>Environmental</w:t>
            </w:r>
          </w:p>
        </w:tc>
        <w:tc>
          <w:tcPr>
            <w:tcW w:w="1656" w:type="dxa"/>
          </w:tcPr>
          <w:p w14:paraId="377A9C9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Amino acid availability</w:t>
            </w:r>
          </w:p>
        </w:tc>
        <w:tc>
          <w:tcPr>
            <w:tcW w:w="2260" w:type="dxa"/>
          </w:tcPr>
          <w:p w14:paraId="75D7421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SPS sensor system (Ssy1-Ptr3-Ssy5)</w:t>
            </w:r>
          </w:p>
        </w:tc>
        <w:tc>
          <w:tcPr>
            <w:tcW w:w="2299" w:type="dxa"/>
          </w:tcPr>
          <w:p w14:paraId="5E0EA339"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Permease expression; alkalinization program</w:t>
            </w:r>
          </w:p>
        </w:tc>
        <w:tc>
          <w:tcPr>
            <w:tcW w:w="1734" w:type="dxa"/>
          </w:tcPr>
          <w:p w14:paraId="7298B71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proofErr w:type="spellStart"/>
            <w:r>
              <w:rPr>
                <w:sz w:val="17"/>
              </w:rPr>
              <w:t>Vylkova</w:t>
            </w:r>
            <w:proofErr w:type="spellEnd"/>
            <w:r>
              <w:rPr>
                <w:sz w:val="17"/>
              </w:rPr>
              <w:t xml:space="preserve"> et al., 2011</w:t>
            </w:r>
          </w:p>
        </w:tc>
      </w:tr>
      <w:tr w:rsidR="00193075" w14:paraId="01CA3D69"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92941B6" w14:textId="77777777" w:rsidR="00193075" w:rsidRDefault="00193075" w:rsidP="00FC5E83">
            <w:r>
              <w:rPr>
                <w:sz w:val="17"/>
              </w:rPr>
              <w:t>Environmental</w:t>
            </w:r>
          </w:p>
        </w:tc>
        <w:tc>
          <w:tcPr>
            <w:tcW w:w="1656" w:type="dxa"/>
          </w:tcPr>
          <w:p w14:paraId="4ECAAFB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Extracellular pH</w:t>
            </w:r>
          </w:p>
        </w:tc>
        <w:tc>
          <w:tcPr>
            <w:tcW w:w="2260" w:type="dxa"/>
          </w:tcPr>
          <w:p w14:paraId="50C30B9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Rim101 pathway</w:t>
            </w:r>
          </w:p>
        </w:tc>
        <w:tc>
          <w:tcPr>
            <w:tcW w:w="2299" w:type="dxa"/>
          </w:tcPr>
          <w:p w14:paraId="659F939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pH-responsive gene regulation; morphogenesis</w:t>
            </w:r>
          </w:p>
        </w:tc>
        <w:tc>
          <w:tcPr>
            <w:tcW w:w="1734" w:type="dxa"/>
          </w:tcPr>
          <w:p w14:paraId="35EDE07F"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Vylkova, 2017</w:t>
            </w:r>
          </w:p>
        </w:tc>
      </w:tr>
      <w:tr w:rsidR="00193075" w14:paraId="4DA2FE7D"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6A28D62" w14:textId="77777777" w:rsidR="00193075" w:rsidRDefault="00193075" w:rsidP="00FC5E83">
            <w:r>
              <w:rPr>
                <w:sz w:val="17"/>
              </w:rPr>
              <w:t>Environmental</w:t>
            </w:r>
          </w:p>
        </w:tc>
        <w:tc>
          <w:tcPr>
            <w:tcW w:w="1656" w:type="dxa"/>
          </w:tcPr>
          <w:p w14:paraId="6516B0D5" w14:textId="081EC80F"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Glucose (extracellular)</w:t>
            </w:r>
          </w:p>
        </w:tc>
        <w:tc>
          <w:tcPr>
            <w:tcW w:w="2260" w:type="dxa"/>
          </w:tcPr>
          <w:p w14:paraId="328AD01E" w14:textId="58927A0A"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Hgt4 membrane sensor (transporter-like, non-importing)</w:t>
            </w:r>
          </w:p>
        </w:tc>
        <w:tc>
          <w:tcPr>
            <w:tcW w:w="2299" w:type="dxa"/>
          </w:tcPr>
          <w:p w14:paraId="125EE897" w14:textId="61A80BC6"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Hexose transporter induction; yeast-to-hyphal transition; calibrated to ~5 mM (human blood glucose)</w:t>
            </w:r>
          </w:p>
        </w:tc>
        <w:tc>
          <w:tcPr>
            <w:tcW w:w="1734" w:type="dxa"/>
          </w:tcPr>
          <w:p w14:paraId="5E0DAC97" w14:textId="26679282" w:rsidR="00193075" w:rsidRPr="002E7FB0" w:rsidRDefault="002E7FB0" w:rsidP="00324D02">
            <w:pPr>
              <w:jc w:val="center"/>
              <w:cnfStyle w:val="000000100000" w:firstRow="0" w:lastRow="0" w:firstColumn="0" w:lastColumn="0" w:oddVBand="0" w:evenVBand="0" w:oddHBand="1" w:evenHBand="0" w:firstRowFirstColumn="0" w:firstRowLastColumn="0" w:lastRowFirstColumn="0" w:lastRowLastColumn="0"/>
              <w:rPr>
                <w:rFonts w:cs="Times New Roman"/>
                <w:sz w:val="17"/>
                <w:szCs w:val="17"/>
              </w:rPr>
            </w:pPr>
            <w:r w:rsidRPr="002E7FB0">
              <w:rPr>
                <w:rFonts w:cs="Times New Roman"/>
                <w:sz w:val="17"/>
                <w:szCs w:val="17"/>
              </w:rPr>
              <w:t>Brown et al., 2006</w:t>
            </w:r>
          </w:p>
        </w:tc>
      </w:tr>
      <w:tr w:rsidR="002E7FB0" w14:paraId="1E09B05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7B02220" w14:textId="77777777" w:rsidR="002E7FB0" w:rsidRDefault="002E7FB0" w:rsidP="00FC5E83">
            <w:pPr>
              <w:rPr>
                <w:sz w:val="17"/>
              </w:rPr>
            </w:pPr>
          </w:p>
        </w:tc>
        <w:tc>
          <w:tcPr>
            <w:tcW w:w="1656" w:type="dxa"/>
          </w:tcPr>
          <w:p w14:paraId="6B1A0921" w14:textId="08AFEA47"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Lactate / methionine</w:t>
            </w:r>
          </w:p>
        </w:tc>
        <w:tc>
          <w:tcPr>
            <w:tcW w:w="2260" w:type="dxa"/>
          </w:tcPr>
          <w:p w14:paraId="60DD1938" w14:textId="588C6A7B"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Gpr1 GPCR / Gpa2</w:t>
            </w:r>
          </w:p>
        </w:tc>
        <w:tc>
          <w:tcPr>
            <w:tcW w:w="2299" w:type="dxa"/>
          </w:tcPr>
          <w:p w14:paraId="1D1D5848" w14:textId="6320DD2E"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proofErr w:type="gramStart"/>
            <w:r w:rsidRPr="002E7FB0">
              <w:rPr>
                <w:sz w:val="17"/>
              </w:rPr>
              <w:t>cAMP</w:t>
            </w:r>
            <w:proofErr w:type="gramEnd"/>
            <w:r w:rsidRPr="002E7FB0">
              <w:rPr>
                <w:sz w:val="17"/>
              </w:rPr>
              <w:t>-PKA pathway activation; morphogenesis. Lactate = immune cell metabolic output; methionine = biosynthetic activity marker</w:t>
            </w:r>
          </w:p>
        </w:tc>
        <w:tc>
          <w:tcPr>
            <w:tcW w:w="1734" w:type="dxa"/>
          </w:tcPr>
          <w:p w14:paraId="09D07AF5" w14:textId="4B8215A1"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Pr>
                <w:sz w:val="17"/>
              </w:rPr>
              <w:t>Maidan et al., 2005</w:t>
            </w:r>
          </w:p>
        </w:tc>
      </w:tr>
      <w:tr w:rsidR="002E7FB0" w14:paraId="13FC1771"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4BEE14E" w14:textId="77777777" w:rsidR="002E7FB0" w:rsidRDefault="002E7FB0" w:rsidP="00FC5E83">
            <w:pPr>
              <w:rPr>
                <w:sz w:val="17"/>
              </w:rPr>
            </w:pPr>
          </w:p>
        </w:tc>
        <w:tc>
          <w:tcPr>
            <w:tcW w:w="1656" w:type="dxa"/>
          </w:tcPr>
          <w:p w14:paraId="59D65629" w14:textId="6E707EF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Oxygen tension</w:t>
            </w:r>
          </w:p>
        </w:tc>
        <w:tc>
          <w:tcPr>
            <w:tcW w:w="2260" w:type="dxa"/>
          </w:tcPr>
          <w:p w14:paraId="0EB4413C" w14:textId="100F7B2D"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Upc2 (sterol depletion) + Gal4/Tye7 (glycolytic switch)</w:t>
            </w:r>
          </w:p>
        </w:tc>
        <w:tc>
          <w:tcPr>
            <w:tcW w:w="2299" w:type="dxa"/>
          </w:tcPr>
          <w:p w14:paraId="34374236" w14:textId="2F5AD1C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Metabolic reconfiguration; hyphal induction; β-glucan masking (immune evasion)</w:t>
            </w:r>
          </w:p>
        </w:tc>
        <w:tc>
          <w:tcPr>
            <w:tcW w:w="1734" w:type="dxa"/>
          </w:tcPr>
          <w:p w14:paraId="46F3D9EC" w14:textId="7A986CF4"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Setiadi et al., 2006; Synnott et al., 2010; Pradhan et al., 2018</w:t>
            </w:r>
          </w:p>
        </w:tc>
      </w:tr>
      <w:tr w:rsidR="00193075" w14:paraId="7052AD4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0" w:type="dxa"/>
            <w:gridSpan w:val="5"/>
            <w:shd w:val="clear" w:color="auto" w:fill="D9D9D9"/>
          </w:tcPr>
          <w:p w14:paraId="0109CEE4" w14:textId="77777777" w:rsidR="00193075" w:rsidRDefault="00193075" w:rsidP="00324D02">
            <w:pPr>
              <w:jc w:val="center"/>
            </w:pPr>
            <w:r>
              <w:rPr>
                <w:i/>
                <w:sz w:val="17"/>
              </w:rPr>
              <w:t>Upstream Governance (no direct receptor)</w:t>
            </w:r>
          </w:p>
        </w:tc>
      </w:tr>
      <w:tr w:rsidR="00193075" w14:paraId="760F042B"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2ECDB22B" w14:textId="77777777" w:rsidR="00193075" w:rsidRDefault="00193075" w:rsidP="00FC5E83">
            <w:r>
              <w:rPr>
                <w:sz w:val="17"/>
              </w:rPr>
              <w:t>Autonomic (sympathetic)</w:t>
            </w:r>
          </w:p>
        </w:tc>
        <w:tc>
          <w:tcPr>
            <w:tcW w:w="1656" w:type="dxa"/>
          </w:tcPr>
          <w:p w14:paraId="2438DDE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Catecholamines (epi/</w:t>
            </w:r>
            <w:proofErr w:type="spellStart"/>
            <w:r>
              <w:rPr>
                <w:sz w:val="17"/>
              </w:rPr>
              <w:t>norepi</w:t>
            </w:r>
            <w:proofErr w:type="spellEnd"/>
            <w:r>
              <w:rPr>
                <w:sz w:val="17"/>
              </w:rPr>
              <w:t>)</w:t>
            </w:r>
          </w:p>
        </w:tc>
        <w:tc>
          <w:tcPr>
            <w:tcW w:w="2260" w:type="dxa"/>
          </w:tcPr>
          <w:p w14:paraId="34A6EA26"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b/>
                <w:sz w:val="17"/>
              </w:rPr>
              <w:t>NO DIRECT RECEPTOR — governed upstream via ECS-mediated modulation of pre-synaptic release</w:t>
            </w:r>
          </w:p>
        </w:tc>
        <w:tc>
          <w:tcPr>
            <w:tcW w:w="2299" w:type="dxa"/>
          </w:tcPr>
          <w:p w14:paraId="027182D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 xml:space="preserve">Minimal direct effect </w:t>
            </w:r>
            <w:proofErr w:type="gramStart"/>
            <w:r>
              <w:rPr>
                <w:sz w:val="17"/>
              </w:rPr>
              <w:t>at</w:t>
            </w:r>
            <w:proofErr w:type="gramEnd"/>
            <w:r>
              <w:rPr>
                <w:sz w:val="17"/>
              </w:rPr>
              <w:t xml:space="preserve"> pharmacological concentrations</w:t>
            </w:r>
          </w:p>
        </w:tc>
        <w:tc>
          <w:tcPr>
            <w:tcW w:w="1734" w:type="dxa"/>
          </w:tcPr>
          <w:p w14:paraId="57B5D73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Wurster et al., 2021; Schlicker &amp; Kathmann, 2001</w:t>
            </w:r>
          </w:p>
        </w:tc>
      </w:tr>
    </w:tbl>
    <w:p w14:paraId="391FE1A1" w14:textId="77777777" w:rsidR="00193075" w:rsidRDefault="00193075" w:rsidP="00193075"/>
    <w:p w14:paraId="171FA8A5" w14:textId="0A1555D4" w:rsidR="00193075" w:rsidRDefault="00193075" w:rsidP="00193075">
      <w:pPr>
        <w:spacing w:after="40"/>
      </w:pPr>
      <w:r>
        <w:rPr>
          <w:sz w:val="18"/>
        </w:rPr>
        <w:t xml:space="preserve">¹ FSH, TSH, growth hormone, and prolactin were specifically tested and produced no effect on </w:t>
      </w:r>
      <w:r w:rsidRPr="00A311F5">
        <w:rPr>
          <w:i/>
          <w:iCs/>
          <w:sz w:val="18"/>
        </w:rPr>
        <w:t>C. albicans</w:t>
      </w:r>
      <w:r>
        <w:rPr>
          <w:sz w:val="18"/>
        </w:rPr>
        <w:t xml:space="preserve"> morphological transition (Kinsman et al., 1988). These are anterior pituitary output hormones. The </w:t>
      </w:r>
      <w:r w:rsidR="00DD6777">
        <w:rPr>
          <w:sz w:val="18"/>
        </w:rPr>
        <w:t>coevolution</w:t>
      </w:r>
      <w:r>
        <w:rPr>
          <w:sz w:val="18"/>
        </w:rPr>
        <w:t xml:space="preserve">ary framework </w:t>
      </w:r>
      <w:r>
        <w:rPr>
          <w:sz w:val="18"/>
        </w:rPr>
        <w:lastRenderedPageBreak/>
        <w:t>(Section 4.3) proposes that the organism modulates pituitary hormone secretion through perfusion governance and ECS signaling to pituitary CB1 receptors, consistent with the prediction that direct sensing is required only for hormones providing inbound environmental information, not for hormones the organism controls through upstream management of the producing gland.</w:t>
      </w:r>
    </w:p>
    <w:p w14:paraId="34957C89" w14:textId="77777777" w:rsidR="00193075" w:rsidRDefault="00193075" w:rsidP="00193075">
      <w:pPr>
        <w:spacing w:after="40"/>
        <w:rPr>
          <w:sz w:val="18"/>
        </w:rPr>
      </w:pPr>
      <w:r>
        <w:rPr>
          <w:sz w:val="18"/>
        </w:rPr>
        <w:t xml:space="preserve">² This inventory reflects tested interactions only. Approximately 1,300 </w:t>
      </w:r>
      <w:r w:rsidRPr="00A311F5">
        <w:rPr>
          <w:i/>
          <w:iCs/>
          <w:sz w:val="18"/>
        </w:rPr>
        <w:t>C. albicans</w:t>
      </w:r>
      <w:r>
        <w:rPr>
          <w:sz w:val="18"/>
        </w:rPr>
        <w:t xml:space="preserve"> genes have no orthologs in other yeast species and remain functionally uncharacterized. Regarding thyroid hormones (T3/T4), natriuretic peptides (ANP/BNP), oxytocin, or erythropoietin, t</w:t>
      </w:r>
      <w:r w:rsidRPr="00390350">
        <w:rPr>
          <w:sz w:val="18"/>
        </w:rPr>
        <w:t xml:space="preserve">o our knowledge, these host signaling pathways remain largely unexplored in </w:t>
      </w:r>
      <w:r w:rsidRPr="00390350">
        <w:rPr>
          <w:i/>
          <w:iCs/>
          <w:sz w:val="18"/>
        </w:rPr>
        <w:t>C. albicans</w:t>
      </w:r>
      <w:r w:rsidRPr="00390350">
        <w:rPr>
          <w:sz w:val="18"/>
        </w:rPr>
        <w:t xml:space="preserve"> host–fungal interaction research.</w:t>
      </w:r>
    </w:p>
    <w:p w14:paraId="5D36D60E" w14:textId="42096747" w:rsidR="00600D32" w:rsidRDefault="00600D32" w:rsidP="00600D32">
      <w:pPr>
        <w:pStyle w:val="Heading2"/>
      </w:pPr>
      <w:r>
        <w:t xml:space="preserve">The </w:t>
      </w:r>
      <w:r>
        <w:t>Distributed System</w:t>
      </w:r>
      <w:r>
        <w:br/>
      </w:r>
    </w:p>
    <w:p w14:paraId="5CD69038" w14:textId="77777777" w:rsidR="00600D32" w:rsidRDefault="00600D32" w:rsidP="00DC1DEA">
      <w:r>
        <w:t xml:space="preserve">The operational picture described in the preceding sections is not a single organism executing a single program at a single location. It is a distributed system in which genetically identical cells across the host simultaneously occupy different morphological states, different metabolic configurations, and different signaling roles. In the gut lumen, yeast-form cells harvest dietary glucose and maintain the commensal niche through farnesol-mediated environmental management. In mucosal biofilms, communities produce extracellular vesicles with temporally variable cargo. In tissue niches distant from active immune surveillance, dormant cells persist in metabolically quiescent states, pre-positioned for reactivation. In sites of active invasion, hyphal cells secrete the Ece1 peptide panel and </w:t>
      </w:r>
      <w:proofErr w:type="spellStart"/>
      <w:r>
        <w:t>candidalysin</w:t>
      </w:r>
      <w:proofErr w:type="spellEnd"/>
      <w:r>
        <w:t xml:space="preserve"> while the surrounding yeast-form population maintains the local immune suppression that permits the invasion to proceed. At no single site does the organism's full capability manifest. Across the host, the aggregate system operates at a scale no individual cell represents.</w:t>
      </w:r>
    </w:p>
    <w:p w14:paraId="5A9D7202" w14:textId="55CD0003" w:rsidR="00600D32" w:rsidRDefault="00600D32" w:rsidP="00DC1DEA">
      <w:r>
        <w:t xml:space="preserve"> The closest analogy in established biology is a eusocial insect colony. No individual ant comprehends the architecture of the nest it participates in. No single ant builds the structure, farms the fungus, feeds the queen, defends the perimeter, and scouts for new resources simultaneously. But the colony does </w:t>
      </w:r>
      <w:proofErr w:type="gramStart"/>
      <w:r>
        <w:t>all of</w:t>
      </w:r>
      <w:proofErr w:type="gramEnd"/>
      <w:r>
        <w:t xml:space="preserve"> these things through distributed specialization without central command. The colony's behavior is emergent from individual agents following local rules. A biologist observing a single ant at a single location would not infer the colony's architecture. The same observational limitation applies to </w:t>
      </w:r>
      <w:r w:rsidRPr="00A311F5">
        <w:rPr>
          <w:i/>
          <w:iCs/>
        </w:rPr>
        <w:t>C. albicans</w:t>
      </w:r>
      <w:r>
        <w:t xml:space="preserve"> research: a study characterizing farnesol's effect on dendritic cells in vitro is observing one agent at one location performing one function. The system's architecture is visible only when the individual observations are assembled, which is the task this paper attempts.</w:t>
      </w:r>
    </w:p>
    <w:p w14:paraId="55F0BE58" w14:textId="390F1821" w:rsidR="00600D32" w:rsidRDefault="00600D32" w:rsidP="00DC1DEA">
      <w:r>
        <w:t xml:space="preserve"> The distinction, and the reason the analogy is imperfect, is that a eusocial colony achieves distributed specialization through morphologically distinct castes — workers, soldiers, reproductives — encoded in developmental programs. </w:t>
      </w:r>
      <w:r w:rsidRPr="00A311F5">
        <w:rPr>
          <w:i/>
          <w:iCs/>
        </w:rPr>
        <w:t>C. albicans</w:t>
      </w:r>
      <w:r>
        <w:t xml:space="preserve"> </w:t>
      </w:r>
      <w:proofErr w:type="gramStart"/>
      <w:r>
        <w:t>achieves</w:t>
      </w:r>
      <w:proofErr w:type="gramEnd"/>
      <w:r>
        <w:t xml:space="preserve"> equivalent functional distribution from a single genome through the epigenetic and transcriptomic heterogeneity described in Section 5.8. Different cells within a genetically identical population run different transcriptional programs (</w:t>
      </w:r>
      <w:proofErr w:type="spellStart"/>
      <w:r>
        <w:t>Dumeaux</w:t>
      </w:r>
      <w:proofErr w:type="spellEnd"/>
      <w:r>
        <w:t xml:space="preserve"> et al., 2023), toggling between commensal maintenance, immune evasion, tissue invasion, dormancy, and environmental sensing without requiring different body plans. The biochemical computer does not need castes. It needs chromatin switches.</w:t>
      </w:r>
    </w:p>
    <w:p w14:paraId="49A40579" w14:textId="131D6FAD" w:rsidR="00600D32" w:rsidRDefault="00600D32" w:rsidP="00DC1DEA">
      <w:r>
        <w:t xml:space="preserve"> A note on colonization prevalence. </w:t>
      </w:r>
      <w:r w:rsidRPr="00A311F5">
        <w:rPr>
          <w:i/>
          <w:iCs/>
        </w:rPr>
        <w:t>C. albicans</w:t>
      </w:r>
      <w:r>
        <w:t xml:space="preserve"> is conventionally described as colonizing the gastrointestinal tract of 40–60% of healthy humans (Romo and Kumamoto, 2020). This figure is a detection threshold, not a prevalence measurement. It reflects the sensitivity of the sampling method, the anatomical site tested, and the moment of collection. </w:t>
      </w:r>
      <w:r w:rsidRPr="00810600">
        <w:rPr>
          <w:i/>
          <w:iCs/>
        </w:rPr>
        <w:t>C. albicans</w:t>
      </w:r>
      <w:r>
        <w:t xml:space="preserve"> is an </w:t>
      </w:r>
      <w:proofErr w:type="gramStart"/>
      <w:r>
        <w:t>obligate</w:t>
      </w:r>
      <w:proofErr w:type="gramEnd"/>
      <w:r>
        <w:t xml:space="preserve"> commensal with no known environmental reservoir, transmitted vertically from mother to child through birth canal transit and breastfeeding (Kumamoto, 2011; Ost and Round, 2023). An organism with this transmission biology and no independent existence outside the host is not </w:t>
      </w:r>
      <w:r>
        <w:lastRenderedPageBreak/>
        <w:t xml:space="preserve">present in 40–60% of humans and absent from the remainder. It is more accurately described as </w:t>
      </w:r>
      <w:proofErr w:type="gramStart"/>
      <w:r>
        <w:t>near-ubiquitous</w:t>
      </w:r>
      <w:proofErr w:type="gramEnd"/>
      <w:r>
        <w:t xml:space="preserve"> in humans, with detectable abundance at any given site and time varying with colonization density, niche, immune status, dietary conditions, and the detection methodology employed.</w:t>
      </w:r>
    </w:p>
    <w:p w14:paraId="3515E98A" w14:textId="77777777" w:rsidR="00600D32" w:rsidRDefault="00600D32" w:rsidP="00DC1DEA">
      <w:r>
        <w:t>This distinction matters for every section of this paper that references colonization. The organism is not intermittently present or absent. It is continuously distributed across the host at variable density. What differs between individuals is not whether the organism is there but how much of it is active, where it is concentrated, what morphological and transcriptional states it occupies, and consequently what aggregate signaling output it produces at each tissue interface. The distributed system is always running. The volume varies.</w:t>
      </w:r>
    </w:p>
    <w:p w14:paraId="14D40880" w14:textId="77777777" w:rsidR="00193075" w:rsidRDefault="00193075" w:rsidP="00193075">
      <w:pPr>
        <w:pStyle w:val="Heading2"/>
      </w:pPr>
      <w:r>
        <w:t>Pituitary Governance: The Relay Station</w:t>
      </w:r>
    </w:p>
    <w:p w14:paraId="2556E1F4" w14:textId="28B4F2AA" w:rsidR="00193075" w:rsidRDefault="00193075" w:rsidP="00DC1DEA">
      <w:r>
        <w:t xml:space="preserve">The specificity of the organism’s hormone sensing raises a question that the receptor inventory alone cannot answer. Kinsman et al. (1988) tested seven mammalian hormones for effects on </w:t>
      </w:r>
      <w:r w:rsidRPr="00810600">
        <w:rPr>
          <w:i/>
          <w:iCs/>
        </w:rPr>
        <w:t>C. albicans</w:t>
      </w:r>
      <w:r>
        <w:t xml:space="preserve"> morphological transition. Luteinizing hormone produced a specific, significant response. Follicle-stimulating hormone, thyroid-stimulating hormone, growth hormone, and prolactin did not. This selectivity has been treated in the literature as a characterization detail. Within the </w:t>
      </w:r>
      <w:r w:rsidR="00DD6777">
        <w:t>coevolution</w:t>
      </w:r>
      <w:r>
        <w:t>ary framework, it is a design signature.</w:t>
      </w:r>
    </w:p>
    <w:p w14:paraId="1127241C" w14:textId="77777777" w:rsidR="00193075" w:rsidRDefault="00193075" w:rsidP="00DC1DEA">
      <w:r>
        <w:t>The hormones that produced no direct response share a common origin: all are anterior pituitary output. FSH, TSH, GH, and prolactin are synthesized and secreted by the anterior pituitary gland. The organism’s relationship to these hormones may not require direct sensing because it has access to the gland that produces them.</w:t>
      </w:r>
    </w:p>
    <w:p w14:paraId="25A1112D" w14:textId="77777777" w:rsidR="00193075" w:rsidRDefault="00193075" w:rsidP="00DC1DEA">
      <w:r>
        <w:t>Section 4.3 describes the perfusion management architecture through which the symbiont governs pituitary blood supply via IVC dynamics and the cardiac suction mechanism. The hypothalamus and pituitary stalk are the primary exceptions to the blood-brain barrier, lacking the tight endothelial junctions that exclude blood-borne molecules from brain tissue. Change the perfusion to this gland, and its output changes. The organism does not need a TSH receptor if it can modulate TSH secretion by managing the blood supply to the cells that produce it. It does not need an FSH receptor if it governs the gland upstream of FSH release.</w:t>
      </w:r>
    </w:p>
    <w:p w14:paraId="2F1CBE5F" w14:textId="0071FC5C" w:rsidR="00193075" w:rsidRDefault="00193075" w:rsidP="00DC1DEA">
      <w:r>
        <w:t>The ECS provides a second, parallel governance pathway. CB1 receptors are expressed on pituitary cells, and endocannabinoid tone modulates pituitary hormone secretion across the hypothalamic-pituitary-gonadal, hypothalamic-pituitary-adrenal, and hypothalamic-pituitary-thyroid axes (Pagotto et al., 2006). The organism’s ECS signaling, described throughout this paper as the primary interface layer, acts directly on the gland’s secretory function. Two independent mechanisms</w:t>
      </w:r>
      <w:r w:rsidR="000E5810">
        <w:t xml:space="preserve">, </w:t>
      </w:r>
      <w:r>
        <w:t>perfusion control and ECS-mediated signaling</w:t>
      </w:r>
      <w:r w:rsidR="000E5810">
        <w:t xml:space="preserve">, </w:t>
      </w:r>
      <w:r>
        <w:t>converge on the same target organ, providing redundant governance of pituitary output without requiring the organism to detect any of the individual hormones that output comprises.</w:t>
      </w:r>
    </w:p>
    <w:p w14:paraId="7CBFFFE0" w14:textId="77777777" w:rsidR="00193075" w:rsidRDefault="00193075" w:rsidP="00DC1DEA">
      <w:r>
        <w:t xml:space="preserve">This produces a two-tier model of endocrine interaction. The first tier consists of hormones the organism senses directly through confirmed receptors or binding proteins: estrogen, luteinizing hormone, corticosteroids, progesterone, androgens, and acetylcholine. These are inbound signals that provide the organism with information about the host’s current physiological state—reproductive status, stress level, autonomic tone, gonadal axis activity. The organism reads these because it needs to know what is happening. The second tier consists of hormones the organism modulates indirectly through governance of the pituitary: FSH, TSH, growth hormone, prolactin, and potentially ACTH. These are outbound adjustments that the </w:t>
      </w:r>
      <w:r>
        <w:lastRenderedPageBreak/>
        <w:t>organism makes to the host’s endocrine environment by controlling the relay station that distributes them. The organism does not need to read these because it is writing them.</w:t>
      </w:r>
    </w:p>
    <w:p w14:paraId="6CC82B82" w14:textId="401B8AEA" w:rsidR="00193075" w:rsidRDefault="00193075" w:rsidP="00DC1DEA">
      <w:r>
        <w:t xml:space="preserve">LH occupies an instructive position in this model. It is the one anterior pituitary hormone for which </w:t>
      </w:r>
      <w:r w:rsidRPr="00810600">
        <w:rPr>
          <w:i/>
          <w:iCs/>
        </w:rPr>
        <w:t>C. albicans</w:t>
      </w:r>
      <w:r>
        <w:t xml:space="preserve"> does possess specific binding sites with a functional signaling cascade. This is not inconsistent with the governance model. LH drives testosterone production in Leydig cells and triggers ovulation—events with immediate consequences for the organism’s tissue environment and immune landscape. Sensing LH may provide the organism with confirmation that its pituitary governance is producing the intended downstream effects, functioning as a feedback channel rather than a primary input. Alternatively, LH sensing may predate the development of full pituitary governance, representing the original direct sensing channel for gonadal axis information that was later supplemented by upstream control. Both interpretations are consistent with the </w:t>
      </w:r>
      <w:r w:rsidR="00DD6777">
        <w:t>coevolution</w:t>
      </w:r>
      <w:r>
        <w:t>ary framework; neither is currently testable.</w:t>
      </w:r>
    </w:p>
    <w:p w14:paraId="563A133C" w14:textId="77777777" w:rsidR="00193075" w:rsidRDefault="00193075" w:rsidP="00DC1DEA">
      <w:r>
        <w:t xml:space="preserve">The practical consequence of this two-tier model is that the organism’s endocrine influence extends far beyond what the receptor inventory implies. The eleven confirmed sensing channels represent the organism’s ears. The pituitary governance architecture represents its voice. Through perfusion management and ECS signaling to the anterior pituitary, the organism has indirect access to every endocrine axis the pituitary controls: thyroid function (via TSH), adrenal function (via ACTH), growth and metabolic regulation (via GH), reproductive cycling (via FSH), and lactation (via prolactin). </w:t>
      </w:r>
      <w:r>
        <w:rPr>
          <w:i/>
        </w:rPr>
        <w:t>The organism does not need twelve receptors when it has control of the switchboard.</w:t>
      </w:r>
    </w:p>
    <w:p w14:paraId="0D00CC20" w14:textId="77777777" w:rsidR="00193075" w:rsidRDefault="00193075" w:rsidP="00193075">
      <w:pPr>
        <w:pStyle w:val="Heading2"/>
      </w:pPr>
      <w:r>
        <w:t>Catecholamine Governance: Upstream Control, Not Direct Sensing</w:t>
      </w:r>
    </w:p>
    <w:p w14:paraId="72A3AD9B" w14:textId="77777777" w:rsidR="00193075" w:rsidRDefault="00193075" w:rsidP="00DC1DEA">
      <w:r>
        <w:t xml:space="preserve">Catecholamines (epinephrine and norepinephrine) are the primary mediators of the sympathetic nervous system—the fight-or-flight response, acute vasoconstriction, heart rate acceleration, and blood pressure elevation. A direct test of pharmacological concentrations of epinephrine and norepinephrine on </w:t>
      </w:r>
      <w:r w:rsidRPr="00810600">
        <w:rPr>
          <w:i/>
          <w:iCs/>
        </w:rPr>
        <w:t xml:space="preserve">C. albicans </w:t>
      </w:r>
      <w:r>
        <w:t>growth, morphogenesis, stress tolerance, and virulence found minimal effects across all measures (Wurster et al., 2021). The organism does not appear to respond to catecholamines as an environmental signal.</w:t>
      </w:r>
    </w:p>
    <w:p w14:paraId="0C48062D" w14:textId="77777777" w:rsidR="00193075" w:rsidRDefault="00193075" w:rsidP="00DC1DEA">
      <w:r>
        <w:t xml:space="preserve">This negative result is informative rather than limiting. Endocannabinoid signaling through CB1 has been shown to regulate the release of the classical </w:t>
      </w:r>
      <w:proofErr w:type="gramStart"/>
      <w:r>
        <w:t>neurotransmitters</w:t>
      </w:r>
      <w:proofErr w:type="gramEnd"/>
      <w:r>
        <w:t xml:space="preserve"> norepinephrine, dopamine, serotonin, and acetylcholine at the pre-synaptic neuron (Schlicker and Kathmann, 2001; Markey et al., 2020). The organism does not need a catecholamine receptor because it operates upstream of catecholamine release. It governs the faucet through the ECS. For a biochemical computer, there is no need to build a sensor for a signal you are already controlling.</w:t>
      </w:r>
    </w:p>
    <w:p w14:paraId="4221B15B" w14:textId="77777777" w:rsidR="00193075" w:rsidRDefault="00193075" w:rsidP="00DC1DEA">
      <w:r>
        <w:t>This creates a complete autonomic access model. The parasympathetic arm—the brake—is accessed directly through the confirmed muscarinic acetylcholine receptor. The sympathetic arm—the accelerator—is governed indirectly through ECS-mediated modulation of catecholamine release. Two arms, two mechanisms, one organism. The parasympathetic channel is a listener. The sympathetic channel is a governor.</w:t>
      </w:r>
    </w:p>
    <w:p w14:paraId="219DD510" w14:textId="5EBC6BC5" w:rsidR="00193075" w:rsidRDefault="00193075" w:rsidP="00DC1DEA">
      <w:r>
        <w:t xml:space="preserve">The functional consequences of this dual autonomic access are documented in the longitudinal case study (Craddock, </w:t>
      </w:r>
      <w:r w:rsidR="009B06E6">
        <w:t>2026c)</w:t>
      </w:r>
      <w:r>
        <w:t xml:space="preserve">. During standardized workplace fitness testing, the subject recorded the fastest heart rate recovery time to baseline in the tested population, a metric that directly reflects cardiovascular regulatory efficiency during the transition from sympathetic-dominant exertion to parasympathetic-dominant recovery. The simplest explanation is that two </w:t>
      </w:r>
      <w:r>
        <w:lastRenderedPageBreak/>
        <w:t>regulatory systems managing this transition—the host’s autonomic nervous system and the symbiont’s parallel ECS signaling—outperform one.</w:t>
      </w:r>
    </w:p>
    <w:p w14:paraId="3F039AF5" w14:textId="77777777" w:rsidR="00193075" w:rsidRDefault="00193075" w:rsidP="00DC1DEA">
      <w:r>
        <w:t xml:space="preserve">More broadly, </w:t>
      </w:r>
      <w:r w:rsidRPr="00D953B8">
        <w:rPr>
          <w:i/>
          <w:iCs/>
        </w:rPr>
        <w:t>dual autonomic governance</w:t>
      </w:r>
      <w:r>
        <w:t xml:space="preserve"> provides the mechanistic basis for </w:t>
      </w:r>
      <w:proofErr w:type="gramStart"/>
      <w:r>
        <w:t>the enhanced</w:t>
      </w:r>
      <w:proofErr w:type="gramEnd"/>
      <w:r>
        <w:t xml:space="preserve"> endurance, crisis tolerance, and blood pressure management described in Section 4.3. Sustained running benefits from simultaneous maintenance of sympathetic drive (through permissive ECS tone allowing catecholamine release) and parasympathetic recovery modulation (through the muscarinic interface). Crisis tolerance during acute physiological stress reflects the symbiont’s capacity to dampen a catecholamine surge that would otherwise produce vasovagal syncope, while maintaining perfusion through the parallel ECS controller. Blood pressure management operates through catecholamine governance in concert with the prostaglandin-mediated vascular tone control described in Section 5.5d.</w:t>
      </w:r>
    </w:p>
    <w:p w14:paraId="085C822C" w14:textId="158FAD33" w:rsidR="00193075" w:rsidRDefault="00193075" w:rsidP="00DC1DEA">
      <w:r>
        <w:t xml:space="preserve">The redacted source article described the terminal phase of the program in terms directly consistent with this model: the heart maintained normal rhythm without crisis, beating steadily until cessation, attributed specifically to hormonal control (Craddock, </w:t>
      </w:r>
      <w:r w:rsidR="009B06E6">
        <w:t>2026c)</w:t>
      </w:r>
      <w:r>
        <w:t xml:space="preserve">. This is the predicted outcome of complete dual autonomic governance. The sympathetic arm does not spike because catecholamine release remains under ECS management. The parasympathetic arm does not collapse because the muscarinic interface remains operational. No arrhythmia. No fibrillation. No autonomic storm. The managed heart does not panic. It simply runs until substrate is exhausted. A single-controller </w:t>
      </w:r>
      <w:proofErr w:type="gramStart"/>
      <w:r>
        <w:t>system—</w:t>
      </w:r>
      <w:proofErr w:type="gramEnd"/>
      <w:r>
        <w:t>the autonomic nervous system operating alone—produces the opposite: terminal arrhythmia, catecholamine storm, chaotic cardiac output. The dual-controller architecture prevents this.</w:t>
      </w:r>
    </w:p>
    <w:p w14:paraId="29BF0774" w14:textId="77777777" w:rsidR="00193075" w:rsidRDefault="00193075" w:rsidP="00193075">
      <w:pPr>
        <w:pStyle w:val="Heading2"/>
      </w:pPr>
      <w:r>
        <w:t>Predicted Thyroid-Phase Signature</w:t>
      </w:r>
    </w:p>
    <w:p w14:paraId="208DB7FF" w14:textId="08BB540A" w:rsidR="00193075" w:rsidRDefault="00193075" w:rsidP="00193075">
      <w:r>
        <w:t xml:space="preserve">The program documented in the longitudinal case study operates through organ systems sequentially, with documented involvement of liver, kidney, pancreas, and adrenal tissue at different stages (Craddock, </w:t>
      </w:r>
      <w:r w:rsidR="009B06E6">
        <w:t>2026c)</w:t>
      </w:r>
      <w:r>
        <w:t>. The thyroid gland, which governs basal metabolic rate, body temperature regulation, heart rate, and cognitive tempo, is too central to metabolic regulation to be excluded from this progression.</w:t>
      </w:r>
    </w:p>
    <w:p w14:paraId="77D876B8" w14:textId="77777777" w:rsidR="00193075" w:rsidRDefault="00193075" w:rsidP="00193075">
      <w:r>
        <w:t xml:space="preserve">If the organism’s program includes an apoptotic phase involving thyroid tissue, the organism would require the capacity to sense thyroid hormone levels </w:t>
      </w:r>
      <w:proofErr w:type="gramStart"/>
      <w:r>
        <w:t>in order to</w:t>
      </w:r>
      <w:proofErr w:type="gramEnd"/>
      <w:r>
        <w:t xml:space="preserve"> calibrate the timing and depth of its activity. An organism that can read estrogen, cortisol, luteinizing hormone, and androgens but cannot read the primary metabolic rate hormone would have a critical gap in its endocrine surveillance. The absence of published evidence for </w:t>
      </w:r>
      <w:r w:rsidRPr="00810600">
        <w:rPr>
          <w:i/>
          <w:iCs/>
        </w:rPr>
        <w:t>C. albicans</w:t>
      </w:r>
      <w:r>
        <w:t xml:space="preserve"> thyroid hormone sensing reflects the absence of investigation, not the absence of capability.</w:t>
      </w:r>
    </w:p>
    <w:p w14:paraId="464F5CD1" w14:textId="6AF08F62" w:rsidR="00193075" w:rsidRDefault="00193075" w:rsidP="00193075">
      <w:r>
        <w:t>A thyroid-phase apoptotic event would produce a defined transient signature: disrupted thyroid cells releasing their stored T3 and T4 into circulation, producing a period of elevated thyroid hormone levels before the released stores are metabolized or cleared. The physiological expression of transient hyperthyroidism includes heightened mental clarity, increased energy, accelerated cognitive processing, and elevated metabolic rate</w:t>
      </w:r>
      <w:r w:rsidR="000E5810">
        <w:t xml:space="preserve">. This is </w:t>
      </w:r>
      <w:r>
        <w:t>a defined window of enhanced function, not a permanent state.</w:t>
      </w:r>
    </w:p>
    <w:p w14:paraId="6DA88E06" w14:textId="6179A119" w:rsidR="00193075" w:rsidRDefault="00193075" w:rsidP="00193075">
      <w:r>
        <w:t xml:space="preserve">The longitudinal case study documents such a window: a period of approximately one month in June 2025 characterized by extraordinary mental clarity and creative output, specifically noted as qualitatively distinct from baseline cognitive function (Craddock, </w:t>
      </w:r>
      <w:r w:rsidR="009B06E6">
        <w:t>2026c)</w:t>
      </w:r>
      <w:r>
        <w:t xml:space="preserve">. This observation is from a single subject and is not diagnostic. It is, however, internally consistent with a thyroid-phase release event, and consistent with the broader pattern documented in the case study of clarity surges bookended by transition periods. Each organ </w:t>
      </w:r>
      <w:r>
        <w:lastRenderedPageBreak/>
        <w:t>system’s apoptotic phase may produce its own transient hormonal or metabolic signature as stored contents are released. The thyroid phase, if it occurs, would produce the most cognitively visible signature due to the direct relationship between thyroid hormone levels and mental acuity.</w:t>
      </w:r>
    </w:p>
    <w:p w14:paraId="765D5CAF" w14:textId="77777777" w:rsidR="00193075" w:rsidRDefault="00193075" w:rsidP="00193075">
      <w:r>
        <w:t>This remains a prediction, not an established finding. It is documented here because it is testable: thyroid function panels obtained during a clarity surge window in a subject undergoing the program would show elevated free T3 and T4 with suppressed TSH, the standard laboratory signature of transient thyrotoxicosis from tissue disruption. The prediction exists in the record. The test awaits a subject with access to clinical monitoring during the appropriate phase.</w:t>
      </w:r>
    </w:p>
    <w:p w14:paraId="4F036024" w14:textId="77777777" w:rsidR="00303C34" w:rsidRDefault="006C3A6A">
      <w:pPr>
        <w:pStyle w:val="Heading2"/>
      </w:pPr>
      <w:r>
        <w:t>5.8 Evolutionary Adaptability: The Biological Prepper</w:t>
      </w:r>
    </w:p>
    <w:p w14:paraId="4F8C273C" w14:textId="77777777" w:rsidR="00303C34" w:rsidRDefault="006C3A6A" w:rsidP="00556297">
      <w:r>
        <w:t xml:space="preserve">The sophistication of </w:t>
      </w:r>
      <w:r>
        <w:rPr>
          <w:i/>
          <w:iCs/>
        </w:rPr>
        <w:t xml:space="preserve">C. </w:t>
      </w:r>
      <w:proofErr w:type="spellStart"/>
      <w:proofErr w:type="gramStart"/>
      <w:r>
        <w:rPr>
          <w:i/>
          <w:iCs/>
        </w:rPr>
        <w:t>albicans</w:t>
      </w:r>
      <w:r>
        <w:t>’s</w:t>
      </w:r>
      <w:proofErr w:type="spellEnd"/>
      <w:proofErr w:type="gramEnd"/>
      <w:r>
        <w:t xml:space="preserve"> signaling architecture raises the question of how such a system is maintained under environmental pressure. Recent single-cell transcriptomic work by </w:t>
      </w:r>
      <w:proofErr w:type="spellStart"/>
      <w:r>
        <w:t>Dumeaux</w:t>
      </w:r>
      <w:proofErr w:type="spellEnd"/>
      <w:r>
        <w:t xml:space="preserve"> et al. (2023), published in </w:t>
      </w:r>
      <w:proofErr w:type="spellStart"/>
      <w:r>
        <w:rPr>
          <w:i/>
          <w:iCs/>
        </w:rPr>
        <w:t>eLife</w:t>
      </w:r>
      <w:proofErr w:type="spellEnd"/>
      <w:r>
        <w:t>, provides a striking answer.</w:t>
      </w:r>
    </w:p>
    <w:p w14:paraId="4ECA00B0" w14:textId="77777777" w:rsidR="00303C34" w:rsidRDefault="006C3A6A" w:rsidP="00556297">
      <w:r>
        <w:t xml:space="preserve">Using nanoliter droplet-based single-cell sequencing, </w:t>
      </w:r>
      <w:proofErr w:type="spellStart"/>
      <w:r>
        <w:t>Dumeaux</w:t>
      </w:r>
      <w:proofErr w:type="spellEnd"/>
      <w:r>
        <w:t xml:space="preserve"> and colleagues profiled thousands of individual </w:t>
      </w:r>
      <w:r>
        <w:rPr>
          <w:i/>
          <w:iCs/>
        </w:rPr>
        <w:t>C. albicans</w:t>
      </w:r>
      <w:r>
        <w:t xml:space="preserve"> cells from isogenic populations, genetically identical cells from a single colony. They found that </w:t>
      </w:r>
      <w:r>
        <w:rPr>
          <w:i/>
          <w:iCs/>
        </w:rPr>
        <w:t>before any drug exposure</w:t>
      </w:r>
      <w:r>
        <w:t>, the population already exhibited heterogeneous expression of cytoprotective programs. Different cells within the same colony were stochastically running different transcriptional programs: some upregulating efflux pumps, some reinforcing cell walls, some in alternative metabolic states. This is “bet hedging,” the pre-positioning of diverse survival configurations against threats that have not yet arrived.</w:t>
      </w:r>
    </w:p>
    <w:p w14:paraId="36893C40" w14:textId="77777777" w:rsidR="00303C34" w:rsidRDefault="006C3A6A" w:rsidP="00556297">
      <w:r>
        <w:t xml:space="preserve">When antifungal drugs were applied, the surviving cells partitioned into distinct subpopulations, each with a unique survival strategy involving different regulatory programs. The organism did not mount a single response. It deployed a portfolio of responses, distributed across the population, with different cells pursuing different survival paths simultaneously. At two days post-treatment, a burst of chromosomal aberrations was observed: controlled genome destabilization, expanding the search space for novel genetic solutions. Once resistance was achieved, the genome </w:t>
      </w:r>
      <w:proofErr w:type="gramStart"/>
      <w:r>
        <w:t>restabilized</w:t>
      </w:r>
      <w:proofErr w:type="gramEnd"/>
      <w:r>
        <w:t xml:space="preserve"> (</w:t>
      </w:r>
      <w:proofErr w:type="spellStart"/>
      <w:r>
        <w:t>Dumeaux</w:t>
      </w:r>
      <w:proofErr w:type="spellEnd"/>
      <w:r>
        <w:t xml:space="preserve"> et al., 2023).</w:t>
      </w:r>
    </w:p>
    <w:p w14:paraId="49D934B2" w14:textId="65E5B3EA" w:rsidR="00303C34" w:rsidRPr="00F11D95" w:rsidRDefault="00AE36B6" w:rsidP="00556297">
      <w:r w:rsidRPr="00AE36B6">
        <w:t>This reflects a pre-existing adaptive architecture shaped by evolutionary selection</w:t>
      </w:r>
      <w:r w:rsidR="006C3A6A">
        <w:t xml:space="preserve">. </w:t>
      </w:r>
      <w:r w:rsidR="00F11D95" w:rsidRPr="00F11D95">
        <w:t>The organism maintains standing diversity in the face of unpredictable threats, deploys distributed survival strategies under environmental pressure, undergoes regulated increases in genomic variability when prior adaptive states become insufficient, and subsequently stabilizes genomic architecture as selectively favored configurations emerge.</w:t>
      </w:r>
      <w:r w:rsidR="006C3A6A">
        <w:t xml:space="preserve"> </w:t>
      </w:r>
      <w:r w:rsidR="008D38A9" w:rsidRPr="008D38A9">
        <w:t>The biochemical computer does not predict its next move. It has already prepared for contingencies it has not yet encountered.</w:t>
      </w:r>
      <w:r w:rsidR="002516A4" w:rsidRPr="002516A4">
        <w:t xml:space="preserve"> Proactive diversification, shaped by prior evolutionary pressures, precedes the onset of specific selective events.</w:t>
      </w:r>
      <w:r w:rsidR="006C3A6A">
        <w:t xml:space="preserve"> </w:t>
      </w:r>
      <w:r w:rsidR="002516A4" w:rsidRPr="002516A4">
        <w:t>Microbial regulatory architectures may encode evolutionary “memory” of environmental variability, producing population-level response distributions that resemble probabilistic anticipation of future stress.</w:t>
      </w:r>
      <w:r w:rsidR="002516A4">
        <w:t xml:space="preserve"> </w:t>
      </w:r>
      <w:r w:rsidR="002516A4" w:rsidRPr="002516A4">
        <w:t>Observed diversification may reflect evolutionary encoding of historical environmental variability rather than de novo anticipation of novel stress.</w:t>
      </w:r>
      <w:r w:rsidR="00F11D95">
        <w:t xml:space="preserve"> (</w:t>
      </w:r>
      <w:r w:rsidR="00F11D95" w:rsidRPr="00F11D95">
        <w:t>Mitchell et al. (2009)</w:t>
      </w:r>
      <w:r w:rsidR="00F11D95">
        <w:t xml:space="preserve">, </w:t>
      </w:r>
      <w:proofErr w:type="spellStart"/>
      <w:r w:rsidR="00F11D95" w:rsidRPr="00F11D95">
        <w:t>Tagkopoulos</w:t>
      </w:r>
      <w:proofErr w:type="spellEnd"/>
      <w:r w:rsidR="00F11D95" w:rsidRPr="00F11D95">
        <w:t xml:space="preserve"> et al. (2008)</w:t>
      </w:r>
      <w:r w:rsidR="00F11D95">
        <w:t>)</w:t>
      </w:r>
    </w:p>
    <w:p w14:paraId="2CC77B83" w14:textId="77777777" w:rsidR="00303C34" w:rsidRDefault="006C3A6A" w:rsidP="00556297">
      <w:r>
        <w:t xml:space="preserve">Biological bet hedging is not unique to </w:t>
      </w:r>
      <w:r>
        <w:rPr>
          <w:i/>
          <w:iCs/>
        </w:rPr>
        <w:t>Candida</w:t>
      </w:r>
      <w:r>
        <w:t xml:space="preserve">. The mammalian adaptive immune system maintains a massive library of naive B and T cells, each pre-configured with a different receptor specificity generated randomly through V(D)J recombination, before encountering any pathogen. Plant species produce seeds with variable dormancy periods within a single generation, distributing germination across unpredictable growing seasons. Bacterial </w:t>
      </w:r>
      <w:proofErr w:type="spellStart"/>
      <w:r>
        <w:t>persister</w:t>
      </w:r>
      <w:proofErr w:type="spellEnd"/>
      <w:r>
        <w:t xml:space="preserve"> cells spontaneously enter dormant, antibiotic-tolerant states within genetically identical populations before any antibiotic exposure.</w:t>
      </w:r>
    </w:p>
    <w:p w14:paraId="7BDA2B2D" w14:textId="781F45EE" w:rsidR="00303C34" w:rsidRDefault="006C3A6A" w:rsidP="00556297">
      <w:r>
        <w:lastRenderedPageBreak/>
        <w:t xml:space="preserve">But none of these systems combine bet hedging with controlled genome destabilization, cross-kingdom chemical signaling, host receptor access, morphological tissue mobility, and immune surveillance management simultaneously. The individual elements exist elsewhere in biology. The combination, as far as current characterization reveals, is unique to </w:t>
      </w:r>
      <w:r>
        <w:rPr>
          <w:i/>
          <w:iCs/>
        </w:rPr>
        <w:t>Candida</w:t>
      </w:r>
      <w:r>
        <w:t xml:space="preserve">. In commensal terms, </w:t>
      </w:r>
      <w:r>
        <w:rPr>
          <w:i/>
          <w:iCs/>
        </w:rPr>
        <w:t>C. albicans</w:t>
      </w:r>
      <w:r>
        <w:t xml:space="preserve"> occupies the ecological position of the organism that cannot be eradicated, </w:t>
      </w:r>
      <w:proofErr w:type="spellStart"/>
      <w:proofErr w:type="gramStart"/>
      <w:r w:rsidR="00AE36B6">
        <w:t>ie</w:t>
      </w:r>
      <w:proofErr w:type="spellEnd"/>
      <w:proofErr w:type="gramEnd"/>
      <w:r w:rsidR="00AE36B6">
        <w:t>. c</w:t>
      </w:r>
      <w:r w:rsidR="00AE36B6" w:rsidRPr="00AE36B6">
        <w:t>andida represents a globally entrenched commensal lineage whose eradication would require interventions incompatible with host survival or ecosystem stability.</w:t>
      </w:r>
      <w:r w:rsidR="00AE36B6">
        <w:t xml:space="preserve"> N</w:t>
      </w:r>
      <w:r>
        <w:t xml:space="preserve">ot because it is optimized for any single threat, but because it is pre-adapted for persistence across the full spectrum of environmental contingencies. It does not predict what will happen next. It has already </w:t>
      </w:r>
      <w:proofErr w:type="gramStart"/>
      <w:r>
        <w:t>prepared</w:t>
      </w:r>
      <w:proofErr w:type="gramEnd"/>
      <w:r>
        <w:t xml:space="preserve"> for it. A 14.3-megabase genome encoding approximately 6,400 genes, a third of the human gene count, running the most complete non-sentient survival architecture in known biology.</w:t>
      </w:r>
    </w:p>
    <w:p w14:paraId="73787350" w14:textId="77777777" w:rsidR="00AE36B6" w:rsidRPr="00AE36B6" w:rsidRDefault="00AE36B6" w:rsidP="00556297">
      <w:r w:rsidRPr="00AE36B6">
        <w:rPr>
          <w:b/>
          <w:bCs/>
        </w:rPr>
        <w:t>The mechanistic basis of the standing diversity described above is epigenetic rather than genetic.</w:t>
      </w:r>
      <w:r w:rsidRPr="00AE36B6">
        <w:t xml:space="preserve"> </w:t>
      </w:r>
      <w:r w:rsidRPr="00AE36B6">
        <w:rPr>
          <w:i/>
          <w:iCs/>
        </w:rPr>
        <w:t>C. albicans</w:t>
      </w:r>
      <w:r w:rsidRPr="00AE36B6">
        <w:t xml:space="preserve"> possesses a comprehensive chromatin modification toolkit: histone acetyltransferases (HATs), histone deacetylases (HDACs), and histone methyltransferases regulate the commensal-to-pathogen lifestyle switch, the yeast-to-hyphal morphological transition, and the white-opaque phenotypic switch through reversible post-translational modification of histone proteins (Sagar et al., 2017; Freire-</w:t>
      </w:r>
      <w:proofErr w:type="spellStart"/>
      <w:r w:rsidRPr="00AE36B6">
        <w:t>Benéitez</w:t>
      </w:r>
      <w:proofErr w:type="spellEnd"/>
      <w:r w:rsidRPr="00AE36B6">
        <w:t xml:space="preserve"> et al., 2021). Transient exposure to the HDAC inhibitor </w:t>
      </w:r>
      <w:proofErr w:type="spellStart"/>
      <w:r w:rsidRPr="00AE36B6">
        <w:t>trichostatin</w:t>
      </w:r>
      <w:proofErr w:type="spellEnd"/>
      <w:r w:rsidRPr="00AE36B6">
        <w:t xml:space="preserve">-A dramatically increases white-to-opaque switching frequency, and targeted deletion of the deacetylase gene </w:t>
      </w:r>
      <w:r w:rsidRPr="00AE36B6">
        <w:rPr>
          <w:i/>
          <w:iCs/>
        </w:rPr>
        <w:t>HDA1</w:t>
      </w:r>
      <w:r w:rsidRPr="00AE36B6">
        <w:t xml:space="preserve"> produces the same effect (Klar et al., 2001), demonstrating that a single chromatin modification can trigger a phenotypic transition without DNA sequence change. The histone deacetylase Sir2 mediates cell wall remodeling that enables host cell adhesion and immune </w:t>
      </w:r>
      <w:proofErr w:type="gramStart"/>
      <w:r w:rsidRPr="00AE36B6">
        <w:t>escape, and</w:t>
      </w:r>
      <w:proofErr w:type="gramEnd"/>
      <w:r w:rsidRPr="00AE36B6">
        <w:t xml:space="preserve"> contributes to carbon utilization under hypoxic conditions (Chen et al., 2024), directly coupling chromatin state to both immune evasion and metabolic adaptation.</w:t>
      </w:r>
    </w:p>
    <w:p w14:paraId="6EECCAA2" w14:textId="77777777" w:rsidR="00AE36B6" w:rsidRPr="00AE36B6" w:rsidRDefault="00AE36B6" w:rsidP="00556297">
      <w:r w:rsidRPr="00AE36B6">
        <w:t xml:space="preserve">The organism has also evolved a clade-specific chromatin innovation: a variant histone H3 (H3V_CTG), exclusive to the CTG clade of ascomycetes that includes </w:t>
      </w:r>
      <w:r w:rsidRPr="00AE36B6">
        <w:rPr>
          <w:i/>
          <w:iCs/>
        </w:rPr>
        <w:t>C. albicans</w:t>
      </w:r>
      <w:r w:rsidRPr="00AE36B6">
        <w:t xml:space="preserve"> but absent from all other ascomycetous fungi analyzed, modulates the biofilm gene circuit at the chromatin level (</w:t>
      </w:r>
      <w:proofErr w:type="spellStart"/>
      <w:r w:rsidRPr="00AE36B6">
        <w:t>Shivarathri</w:t>
      </w:r>
      <w:proofErr w:type="spellEnd"/>
      <w:r w:rsidRPr="00AE36B6">
        <w:t xml:space="preserve"> et al., 2019). H3V_CTG occupancy on biofilm gene promoters makes them less accessible to transcription modulators, maintaining the commensal growth state. When H3V_CTG levels drop, biofilm transcription programs activate. The authors propose that this variant histone evolved specifically to balance the commensal and pathogenic states, enhancing the organism's success as a commensal by restraining its pathogenic capabilities at the chromatin level — releasing them only when environmental conditions warrant.</w:t>
      </w:r>
    </w:p>
    <w:p w14:paraId="0D268B63" w14:textId="77777777" w:rsidR="00AE36B6" w:rsidRPr="00AE36B6" w:rsidRDefault="00AE36B6" w:rsidP="00556297">
      <w:r w:rsidRPr="00AE36B6">
        <w:t xml:space="preserve">At the DNA level, methylation in </w:t>
      </w:r>
      <w:r w:rsidRPr="00AE36B6">
        <w:rPr>
          <w:i/>
          <w:iCs/>
        </w:rPr>
        <w:t>C. albicans</w:t>
      </w:r>
      <w:r w:rsidRPr="00AE36B6">
        <w:t xml:space="preserve"> is primarily localized within structural genes governing dimorphic transition, white-opaque switching, and iron metabolism, and directly modulates transcriptional activity (Mishra et al., 2011). Transcriptionally repressed methylated loci exhibit increased C-to-T transition frequencies during asexual growth, linking epigenetic repression to directed mutational bias — a mechanism by which chromatin state can influence the trajectory of genetic variation under environmental pressure. Bartelli et al. (2018) provided the first evidence for mitochondrial genome methylation in </w:t>
      </w:r>
      <w:r w:rsidRPr="00AE36B6">
        <w:rPr>
          <w:i/>
          <w:iCs/>
        </w:rPr>
        <w:t>C. albicans</w:t>
      </w:r>
      <w:r w:rsidRPr="00AE36B6">
        <w:t>, demonstrating that host-mimicking conditions (hypoxia, 37°C) alter mitochondrial methylation patterns in a strain-specific manner over 12 weeks of experimental evolution, with no corresponding sequence changes in the mitochondrial DNA. This adds an energy regulation layer to the epigenetic toolkit: the organism can epigenetically modify its own mitochondrial genome in response to host conditions without altering the underlying sequence.</w:t>
      </w:r>
    </w:p>
    <w:p w14:paraId="6A6C35A8" w14:textId="73F6A94D" w:rsidR="00E32394" w:rsidRDefault="00AE36B6" w:rsidP="00556297">
      <w:r w:rsidRPr="00AE36B6">
        <w:lastRenderedPageBreak/>
        <w:t xml:space="preserve">The distinction between epigenetic and genetic adaptation is fundamental to the </w:t>
      </w:r>
      <w:r w:rsidR="00DD6777">
        <w:t>coevolution</w:t>
      </w:r>
      <w:r w:rsidRPr="00AE36B6">
        <w:t xml:space="preserve">ary framework. Genetic mutation is slow, stochastic, and irreversible on individual timescales. Epigenetic modification is fast, responsive to environmental signals, and reversible. An organism that can toggle between commensal and invasive programs through chromatin remodeling operates on timescales faster than the host immune system can </w:t>
      </w:r>
      <w:proofErr w:type="gramStart"/>
      <w:r w:rsidRPr="00AE36B6">
        <w:t>adapt, and</w:t>
      </w:r>
      <w:proofErr w:type="gramEnd"/>
      <w:r w:rsidRPr="00AE36B6">
        <w:t xml:space="preserve"> can reverse course if conditions change. The transcriptomic heterogeneity described by </w:t>
      </w:r>
      <w:proofErr w:type="spellStart"/>
      <w:r w:rsidRPr="00AE36B6">
        <w:t>Dumeaux</w:t>
      </w:r>
      <w:proofErr w:type="spellEnd"/>
      <w:r w:rsidRPr="00AE36B6">
        <w:t xml:space="preserve"> et al. (2023)</w:t>
      </w:r>
      <w:r w:rsidR="000E5810">
        <w:t>, namely</w:t>
      </w:r>
      <w:r w:rsidRPr="00AE36B6">
        <w:t xml:space="preserve"> different cells within an isogenic population running different transcriptional programs before any environmental challenge</w:t>
      </w:r>
      <w:r w:rsidR="000E5810">
        <w:t xml:space="preserve">, </w:t>
      </w:r>
      <w:r w:rsidRPr="00AE36B6">
        <w:t xml:space="preserve">is the phenotypic output of this epigenetic diversity. </w:t>
      </w:r>
    </w:p>
    <w:p w14:paraId="58D73A01" w14:textId="03FF0B96" w:rsidR="00AE36B6" w:rsidRDefault="00E32394" w:rsidP="00556297">
      <w:r w:rsidRPr="00E32394">
        <w:t xml:space="preserve">The observed bet-hedging behavior in </w:t>
      </w:r>
      <w:r w:rsidRPr="00E32394">
        <w:rPr>
          <w:i/>
          <w:iCs/>
        </w:rPr>
        <w:t>Candida albicans</w:t>
      </w:r>
      <w:r w:rsidRPr="00E32394">
        <w:t xml:space="preserve"> cannot be attributed solely to stochastic variation in gene expression. Instead, it reflects chromatin-encoded regulatory memory maintained through dynamic activity of histone modifiers, lineage-specific chromatin features, and reported cytosine methylation pathways. Within the framework of a biochemical computational system, these chromatin states function as a substrate for evolutionary information retention, biasing population-level response distributions under environmental stress. This chromatin-mediated layer constitutes one of the fastest adaptive components of the organism’s survival architecture, enabling rapid shifts in dominant phenotypic states without requiring de novo regulatory innovation.</w:t>
      </w:r>
    </w:p>
    <w:p w14:paraId="7BB74E56" w14:textId="77777777" w:rsidR="00303C34" w:rsidRDefault="006C3A6A">
      <w:pPr>
        <w:pStyle w:val="Heading2"/>
      </w:pPr>
      <w:bookmarkStart w:id="28" w:name="positional-authority"/>
      <w:bookmarkEnd w:id="27"/>
      <w:r>
        <w:t>5.9 Positional Authority</w:t>
      </w:r>
    </w:p>
    <w:p w14:paraId="1F5B7B46" w14:textId="7A6C407A" w:rsidR="00C3060A" w:rsidRDefault="00E32394" w:rsidP="00556297">
      <w:r w:rsidRPr="00E32394">
        <w:t xml:space="preserve">Taken together, these findings position </w:t>
      </w:r>
      <w:r w:rsidRPr="00E32394">
        <w:rPr>
          <w:i/>
          <w:iCs/>
        </w:rPr>
        <w:t>Candida albicans</w:t>
      </w:r>
      <w:r w:rsidRPr="00E32394">
        <w:t xml:space="preserve"> not merely as a commensal or pathogen but as an emergent ecological coordinating influence within mammalian internal ecosystems. Through evolutionary selection, the organism has come to occupy a disproportionately integrative regulatory position, shaping the dynamics of host-associated biological networks across molecular, cellular, and ecological scales.</w:t>
      </w:r>
      <w:r w:rsidR="006C3A6A">
        <w:t xml:space="preserve"> It is the only </w:t>
      </w:r>
      <w:r w:rsidR="00EB18C9">
        <w:t xml:space="preserve">known </w:t>
      </w:r>
      <w:r w:rsidR="006C3A6A">
        <w:t>organism in the host microbiome that simultaneously: (1) signals chemically across kingdoms, to bacteria, to other fungi, and to the host; (2) possesses physical tissue mobility via hyphal morphological transition; and (3) accesses the host’s endogenous receptor infrastructure, including nuclear transcription factors, ion channels, neurotransmitter receptors, cholinergic receptors, and immune cell differentiation pathways</w:t>
      </w:r>
      <w:r w:rsidR="00541D23">
        <w:t>; (4) a confirmed extracellular vesicle delivery system with morphology-dependent cargo programming, temporal cargo variation, and cross-species functional complementation; (5) the molecular infrastructure for cross-kingdom RNA interference, including internal RNA transport, EV-mediated RNA export, and RNA cargo that shifts in response to environmental conditions</w:t>
      </w:r>
      <w:r w:rsidR="00C3060A">
        <w:t>; (6) a</w:t>
      </w:r>
      <w:r w:rsidR="00C3060A" w:rsidRPr="00C3060A">
        <w:t>ctive bidirectional pH manipulation through at least two independent metabolic pathways, including the capacity to neutralize the macrophage phagolysosome</w:t>
      </w:r>
      <w:r w:rsidR="00C3060A">
        <w:t>; (7) a</w:t>
      </w:r>
      <w:r w:rsidR="00C3060A" w:rsidRPr="00C3060A">
        <w:t>n ionic manipulation toolkit (potassium competition, transmembrane pore formation, pH engineering) capable of altering the electrochemical landscape in which the host's Na⁺/K⁺-ATPase operates</w:t>
      </w:r>
      <w:r w:rsidR="00C3060A">
        <w:t>; and</w:t>
      </w:r>
      <w:r w:rsidR="00541D23">
        <w:t xml:space="preserve"> </w:t>
      </w:r>
      <w:r w:rsidR="00C3060A">
        <w:t>(8) production of authentic host prostaglandins from host-derived arachidonic acid through an independently evolved biosynthetic pathway, enabling direct molecular mimicry of host inflammatory mediators and competition with host endocannabinoid synthesis for shared lipid precursor.</w:t>
      </w:r>
    </w:p>
    <w:p w14:paraId="743B21D9" w14:textId="3D774CB9" w:rsidR="00303C34" w:rsidRDefault="006C3A6A" w:rsidP="00556297">
      <w:r>
        <w:t xml:space="preserve">This is not a value judgment about evolutionary advancement. Evolution does not rank organisms. It is a functional description of positional authority within a system. In the context of the Saline Oscillation Hypothesis, this positional authority explains not only why </w:t>
      </w:r>
      <w:r>
        <w:rPr>
          <w:i/>
          <w:iCs/>
        </w:rPr>
        <w:t>Candida</w:t>
      </w:r>
      <w:r>
        <w:t xml:space="preserve"> was the organism selected for deeper host integration during periods of electrolyte stress, but how it maintained operational continuity across the oscillation cycles that drove the </w:t>
      </w:r>
      <w:r w:rsidR="00DD6777">
        <w:t>coevolution</w:t>
      </w:r>
      <w:r>
        <w:t xml:space="preserve">ary </w:t>
      </w:r>
      <w:r>
        <w:lastRenderedPageBreak/>
        <w:t xml:space="preserve">program described in the preceding sections. The organism did not need to evolve new capabilities to respond to saline oscillation. It </w:t>
      </w:r>
      <w:proofErr w:type="gramStart"/>
      <w:r>
        <w:t>needed</w:t>
      </w:r>
      <w:proofErr w:type="gramEnd"/>
      <w:r>
        <w:t xml:space="preserve"> only to deepen the application of capabilities it already possessed. The ECS was the original interface. The broader control surface, including nuclear receptors, ion channels, neurotransmitter receptors, cholinergic signaling, immune modulation, cross-kingdom chemical authority, </w:t>
      </w:r>
      <w:r w:rsidR="005076C7">
        <w:t xml:space="preserve">EV delivery system, RNA interference infrastructure, </w:t>
      </w:r>
      <w:r w:rsidR="00541D23">
        <w:t>and bet hedging were</w:t>
      </w:r>
      <w:r>
        <w:t xml:space="preserve"> the expanded toolkit that made the deepening sustainable across millions of years of environmental fluctuation. The control surface was already in place. The environmental pressure activated it.</w:t>
      </w:r>
    </w:p>
    <w:p w14:paraId="0C4373D7" w14:textId="77777777" w:rsidR="000F3566" w:rsidRDefault="000F3566" w:rsidP="000F3566">
      <w:pPr>
        <w:pStyle w:val="Heading2"/>
      </w:pPr>
      <w:r>
        <w:t>5.10 The Metabolic Substrate Architecture: What It Eats While It Works</w:t>
      </w:r>
    </w:p>
    <w:p w14:paraId="1F9A4BD3" w14:textId="1E6E65C8" w:rsidR="000F3566" w:rsidRDefault="000F3566" w:rsidP="000F3566">
      <w:r>
        <w:t>Section 5.9 describes what the organism can do. This section describes what it consumes while doing it — and how the answer to that question shifts depending on where in the host the organism is operating, what resources are locally available, and what the program demands at any given moment. The signaling architecture and the metabolic architecture are not independent systems. They are the same system viewed from two directions: one describes how the organism talks to the host, the other describes how it feeds within it. Both run continuously. Both adapt in real time.</w:t>
      </w:r>
    </w:p>
    <w:p w14:paraId="3F67F34E" w14:textId="77777777" w:rsidR="000F3566" w:rsidRDefault="000F3566" w:rsidP="000F3566">
      <w:r w:rsidRPr="00810600">
        <w:rPr>
          <w:i/>
          <w:iCs/>
        </w:rPr>
        <w:t>C. albicans</w:t>
      </w:r>
      <w:r>
        <w:t xml:space="preserve"> </w:t>
      </w:r>
      <w:proofErr w:type="gramStart"/>
      <w:r>
        <w:t>is</w:t>
      </w:r>
      <w:proofErr w:type="gramEnd"/>
      <w:r>
        <w:t xml:space="preserve"> metabolically flexible to a degree unusual even among fungi. It can utilize glucose, amino acids, carboxylic acids, fatty acids, N-acetylglucosamine, and lactate as carbon sources, and can switch between glycolytic and gluconeogenic metabolism depending on the local nutrient environment and pathway accessibility (</w:t>
      </w:r>
      <w:proofErr w:type="spellStart"/>
      <w:r>
        <w:t>Barelle</w:t>
      </w:r>
      <w:proofErr w:type="spellEnd"/>
      <w:r>
        <w:t xml:space="preserve"> et al., 2006; Lorenz et al., 2004). This is not a generalist's indifference to what it eats. It is the prerequisite for the distributed system described in Section 5.7 — an organism that simultaneously inhabits the glucose-rich gut lumen, the amino acid-rich tissue </w:t>
      </w:r>
      <w:proofErr w:type="spellStart"/>
      <w:r>
        <w:t>interstitium</w:t>
      </w:r>
      <w:proofErr w:type="spellEnd"/>
      <w:r>
        <w:t>, the lactate-rich interior of a macrophage phagosome, and the lipid-rich environment of the systemic circulation cannot survive on a single fuel. It survives because it can eat whatever is in front of it, wherever it is, and switch strategies when the local menu changes.</w:t>
      </w:r>
    </w:p>
    <w:p w14:paraId="6939D724" w14:textId="77777777" w:rsidR="000F3566" w:rsidRDefault="000F3566" w:rsidP="000F3566">
      <w:r>
        <w:t>The result is not a simple metabolic sequence but a multiplexed substrate landscape: multiple fuel channels operating in parallel across different tissue sites at the same time, with the dominant channel shifting as the program's demands evolve. To understand this landscape, it is necessary to describe each channel, what it provides, and why the organism maintains it.</w:t>
      </w:r>
    </w:p>
    <w:p w14:paraId="6AFF744A" w14:textId="77777777" w:rsidR="000F3566" w:rsidRDefault="000F3566" w:rsidP="000F3566">
      <w:pPr>
        <w:pStyle w:val="Heading3"/>
      </w:pPr>
      <w:r>
        <w:t>Substrate Multiplexing: The Parallel Channels</w:t>
      </w:r>
    </w:p>
    <w:p w14:paraId="2BDB3F0D" w14:textId="69A5A343" w:rsidR="000F3566" w:rsidRDefault="000F3566" w:rsidP="000F3566">
      <w:r>
        <w:t xml:space="preserve">Dietary glucose is the quietest channel. In the gut lumen, yeast-form </w:t>
      </w:r>
      <w:r w:rsidRPr="00810600">
        <w:rPr>
          <w:i/>
          <w:iCs/>
        </w:rPr>
        <w:t>C. albican</w:t>
      </w:r>
      <w:r>
        <w:t xml:space="preserve">s harvests glucose from the host's dietary intake, detected through </w:t>
      </w:r>
      <w:r w:rsidR="002E7FB0">
        <w:t xml:space="preserve">the </w:t>
      </w:r>
      <w:r w:rsidR="002E7FB0" w:rsidRPr="002E7FB0">
        <w:t>Hgt4</w:t>
      </w:r>
      <w:r w:rsidR="002E7FB0">
        <w:t xml:space="preserve"> membrane sensor calibrated to human blood glucose concentrations. T</w:t>
      </w:r>
      <w:r>
        <w:t>hat feeds into the cAMP-PKA signaling cascade (Section 5.7). This is the commensal baseline</w:t>
      </w:r>
      <w:r w:rsidR="000E5810">
        <w:t>:</w:t>
      </w:r>
      <w:r>
        <w:t xml:space="preserve"> the organism feeding from the same table as the host, its metabolic demands invisible within the volume of carbohydrate passing through the digestive tract. The host does not notice the tax. The relationship appears benign. Every individual carrying </w:t>
      </w:r>
      <w:r w:rsidRPr="00810600">
        <w:rPr>
          <w:i/>
          <w:iCs/>
        </w:rPr>
        <w:t>C. albicans</w:t>
      </w:r>
      <w:r>
        <w:t xml:space="preserve"> as a commensal is running this channel right now, </w:t>
      </w:r>
      <w:proofErr w:type="gramStart"/>
      <w:r>
        <w:t>whether or not</w:t>
      </w:r>
      <w:proofErr w:type="gramEnd"/>
      <w:r>
        <w:t xml:space="preserve"> any other channel is active.</w:t>
      </w:r>
    </w:p>
    <w:p w14:paraId="6C8F3A38" w14:textId="7F8C3D04" w:rsidR="000F3566" w:rsidRDefault="000F3566" w:rsidP="000F3566">
      <w:r>
        <w:t xml:space="preserve">Host glycoconjugates and mucosal carbohydrates represent a second, quieter channel operating at epithelial boundaries. The complex sugars embedded in the mucin layer and glycocalyx of mucosal surfaces provide a substrate the organism can access without tissue invasion, sustaining populations at the mucosal interface between the lumen and the tissue. This channel supports the organism's positional presence at the boundary </w:t>
      </w:r>
      <w:proofErr w:type="gramStart"/>
      <w:r>
        <w:t>where</w:t>
      </w:r>
      <w:proofErr w:type="gramEnd"/>
      <w:r>
        <w:t xml:space="preserve"> commensal existence </w:t>
      </w:r>
      <w:r>
        <w:lastRenderedPageBreak/>
        <w:t>transitions into tissue engagement</w:t>
      </w:r>
      <w:r w:rsidR="000E5810">
        <w:t>. T</w:t>
      </w:r>
      <w:r>
        <w:t>he threshold monitor</w:t>
      </w:r>
      <w:r w:rsidR="00321C13">
        <w:t>ed</w:t>
      </w:r>
      <w:r>
        <w:t xml:space="preserve"> continuously</w:t>
      </w:r>
      <w:r w:rsidR="00321C13">
        <w:t xml:space="preserve"> by the distributed system.</w:t>
      </w:r>
    </w:p>
    <w:p w14:paraId="5CB2A54D" w14:textId="77777777" w:rsidR="000F3566" w:rsidRDefault="000F3566" w:rsidP="000F3566">
      <w:r>
        <w:t>N-acetylglucosamine occupies a unique position in the substrate landscape. It is simultaneously a carbon and nitrogen source, a morphogenetic signal, and a location marker. N-acetylglucosamine is a breakdown product of host glycosaminoglycans, the structural molecules of the tissue matrix. When the organism encounters N-acetylglucosamine, it receives two inputs through a single molecule: fuel and the information that it is inside host tissue rather than in the gut lumen. The molecule feeds the organism and tells it where it is. This convergence of metabolic and informational function in a single substrate illustrates a principle that runs through the entire substrate landscape: the organism does not separate eating from sensing. The substrate is the signal.</w:t>
      </w:r>
    </w:p>
    <w:p w14:paraId="5A19125C" w14:textId="1E6D59E1" w:rsidR="000F3566" w:rsidRDefault="000F3566" w:rsidP="000F3566">
      <w:r>
        <w:t xml:space="preserve">Lipids and fatty acids represent the channel through which the organism transitions from feeding alongside the host to feeding from the host. The CYP52 fatty acid metabolism enzyme family, when upregulated </w:t>
      </w:r>
      <w:r w:rsidR="00321C13">
        <w:t>(</w:t>
      </w:r>
      <w:r>
        <w:t>whether by iatrogenic induction as described in Section 5.1 or by endogenous metabolic shifts</w:t>
      </w:r>
      <w:r w:rsidR="00321C13">
        <w:t>)</w:t>
      </w:r>
      <w:r>
        <w:t xml:space="preserve"> enables the processing of host-derived lipids. Once this channel is active, the organism gains access to the arachidonic acid economy described in Section 5.5d: the shared precursor pool for both prostaglandin production and endocannabinoid synthesis. The lipid channel is therefore not merely fuel. It is the metabolic entry point into the host's lipid signaling landscape. The organism begins eating what the host's cells are made of, and in doing so, gains the raw material for the immune modulation and vascular tone management programs described throughout Section 5.</w:t>
      </w:r>
    </w:p>
    <w:p w14:paraId="19956AFC" w14:textId="77777777" w:rsidR="000F3566" w:rsidRDefault="000F3566" w:rsidP="000F3566">
      <w:r>
        <w:t xml:space="preserve">Amino acids and host structural proteins represent the deepest metabolic engagement with host tissue. The organism's ten secreted aspartyl proteinases (SAP1–SAP10) digest host proteins in the extracellular space, and its ten dedicated peptide transporters (2 PTR, 8 OPT) import the resulting fragments (Dunkel et al., 2013). As documented in Section 5.5a, this massive digest-and-import pipeline is maintained by selection despite having no fitness requirement for gastrointestinal colonization — the septuple transporter knockout survived perfectly well in the gut. The pipeline exists for tissue-level operation. The alkalinization program described in Section 5.5e is itself amino acid-driven: catabolism of amino acids produces the ammonia that raises extracellular </w:t>
      </w:r>
      <w:proofErr w:type="spellStart"/>
      <w:r>
        <w:t>pH.</w:t>
      </w:r>
      <w:proofErr w:type="spellEnd"/>
      <w:r>
        <w:t xml:space="preserve"> Through this channel, the organism feeds and modifies its tissue environment simultaneously. It does not eat the host's proteins and then separately engineer the local </w:t>
      </w:r>
      <w:proofErr w:type="spellStart"/>
      <w:r>
        <w:t>pH.</w:t>
      </w:r>
      <w:proofErr w:type="spellEnd"/>
      <w:r>
        <w:t xml:space="preserve"> It does both with the same metabolic act.</w:t>
      </w:r>
    </w:p>
    <w:p w14:paraId="760F47CE" w14:textId="0A35F8CC" w:rsidR="000F3566" w:rsidRDefault="000F3566" w:rsidP="000F3566">
      <w:r>
        <w:t>Lactate and host metabolic byproducts extend the accessible energy field into microenvironments where glucose is scarce. Inside the macrophage phagosome</w:t>
      </w:r>
      <w:r w:rsidR="00321C13">
        <w:t>,</w:t>
      </w:r>
      <w:r>
        <w:t xml:space="preserve"> the immune compartment specifically designed to kill the organism</w:t>
      </w:r>
      <w:r w:rsidR="00321C13">
        <w:t xml:space="preserve">, </w:t>
      </w:r>
      <w:r>
        <w:t xml:space="preserve">glucose is </w:t>
      </w:r>
      <w:proofErr w:type="gramStart"/>
      <w:r>
        <w:t>minimal</w:t>
      </w:r>
      <w:proofErr w:type="gramEnd"/>
      <w:r>
        <w:t xml:space="preserve"> but lactate is abundant. </w:t>
      </w:r>
      <w:r w:rsidRPr="00810600">
        <w:rPr>
          <w:i/>
          <w:iCs/>
        </w:rPr>
        <w:t>C. albicans</w:t>
      </w:r>
      <w:r>
        <w:t xml:space="preserve"> </w:t>
      </w:r>
      <w:proofErr w:type="gramStart"/>
      <w:r>
        <w:t>survives</w:t>
      </w:r>
      <w:proofErr w:type="gramEnd"/>
      <w:r>
        <w:t xml:space="preserve"> inside the phagosome in part because it can metabolize the waste products of the very immune cell trying to destroy it (Lorenz et al., 2004). This is metabolic judo: the immune response generates the substrate the organism uses to survive the immune response. The second alkalinization pathway (Danhof et al., 2016) processes carboxylic acids including lactate, pyruvate, and α-ketoglutarate without </w:t>
      </w:r>
      <w:proofErr w:type="gramStart"/>
      <w:r>
        <w:t>ammonia release</w:t>
      </w:r>
      <w:proofErr w:type="gramEnd"/>
      <w:r>
        <w:t xml:space="preserve"> and without triggering hyphal morphogenesis</w:t>
      </w:r>
      <w:r w:rsidR="00321C13">
        <w:t xml:space="preserve">, creating </w:t>
      </w:r>
      <w:r>
        <w:t>a metabolically quiet survival mode suited to operating inside a hostile compartment without announcing its presence.</w:t>
      </w:r>
    </w:p>
    <w:p w14:paraId="6E5A009F" w14:textId="67383F16" w:rsidR="000F3566" w:rsidRDefault="000F3566" w:rsidP="000F3566">
      <w:r>
        <w:t>Host-derived ketone bodies</w:t>
      </w:r>
      <w:r w:rsidR="00321C13">
        <w:t>:</w:t>
      </w:r>
      <w:r>
        <w:t xml:space="preserve"> acetoacetate, β-hydroxybutyrate, and acetone</w:t>
      </w:r>
      <w:r w:rsidR="00321C13">
        <w:t>,</w:t>
      </w:r>
      <w:r>
        <w:t xml:space="preserve"> are carboxylic acids produced by the host liver during states of glucose depletion, fatty acid oxidation, or sustained fasting. They fall within the substrate classes the lactate/carboxylic acid channel can process. In a host whose conventional glucose metabolism has been altered by the program's </w:t>
      </w:r>
      <w:r>
        <w:lastRenderedPageBreak/>
        <w:t xml:space="preserve">progression, or whose metabolic state has shifted toward ketogenesis for any reason, ketone bodies represent a fuel channel that both the organism and the host can share. The longitudinal case study documents a metabolic shift following the 2022 IVC constriction release event, after which the subject's body transitioned to alternative ATP generation mechanisms sustained for the subsequent four years (Craddock, </w:t>
      </w:r>
      <w:r w:rsidR="009B06E6">
        <w:t>2026c)</w:t>
      </w:r>
      <w:r>
        <w:t>. The specific pathways have not been clinically characterized, but the shift is consistent with a transition into a ketone-dominant fuel economy accessible to both host and symbiont.</w:t>
      </w:r>
    </w:p>
    <w:p w14:paraId="05DC1910" w14:textId="53C6922F" w:rsidR="000F3566" w:rsidRDefault="000F3566" w:rsidP="000F3566">
      <w:r>
        <w:t xml:space="preserve">This channel carries a cognitive byproduct directly relevant to the trinity model. β-hydroxybutyrate is a more efficient neuronal fuel than glucose, producing more ATP per unit of oxygen consumed while bypassing several rate-limiting steps in glucose metabolism. It also functions as a signaling molecule, inhibiting histone deacetylases (HDACs) and promoting neuroprotective gene expression while reducing oxidative stress and neural inflammation. </w:t>
      </w:r>
      <w:r w:rsidR="00321C13">
        <w:t>H</w:t>
      </w:r>
      <w:r w:rsidR="00321C13">
        <w:t xml:space="preserve">eightened mental clarity, sustained focus, </w:t>
      </w:r>
      <w:r w:rsidR="00321C13">
        <w:t xml:space="preserve">and </w:t>
      </w:r>
      <w:r w:rsidR="00321C13">
        <w:t>neuroprotection</w:t>
      </w:r>
      <w:r w:rsidR="00321C13">
        <w:t>, t</w:t>
      </w:r>
      <w:r>
        <w:t>he documented cognitive enhancement</w:t>
      </w:r>
      <w:r w:rsidR="00321C13">
        <w:t>s</w:t>
      </w:r>
      <w:r>
        <w:t xml:space="preserve"> associated with ketone-dominant metabolism</w:t>
      </w:r>
      <w:r w:rsidR="00321C13">
        <w:t>. are</w:t>
      </w:r>
      <w:r>
        <w:t xml:space="preserve"> well established in clinical literature on ketogenic diets and their applications in epilepsy and neurodegenerative disease. A host operating on ketone-dominant metabolism runs its brain on a superior fuel. Within the trinity model, this is a byproduct of metabolic necessity that would have directly increased the survival value of the elder's cognitive output during the phases when the group needed it most.</w:t>
      </w:r>
    </w:p>
    <w:p w14:paraId="6F26A0AE" w14:textId="77777777" w:rsidR="000F3566" w:rsidRDefault="000F3566" w:rsidP="000F3566">
      <w:r>
        <w:t>Host cellular ATP represents the most direct fuel channel. Candidalysin pore formation (Sections 5.5a, 5.5e) produces efflux of ATP from host cells into the extracellular space (Ho et al., 2021; Russell et al., 2022). The host cell's energy currency leaks through calibrated pores into the environment where the organism can access it. The ATP efflux simultaneously depletes the host cell's energy reserve and provides substrate to the organism. Through this channel, the organism is not waiting for dietary substrate to arrive through the gut. It is tapping the energy stored in the cells it touches.</w:t>
      </w:r>
    </w:p>
    <w:p w14:paraId="69D451E2" w14:textId="7074A95B" w:rsidR="000F3566" w:rsidRDefault="000F3566" w:rsidP="000F3566">
      <w:r>
        <w:t>Ion gradient energy represents the final and deepest channel. The Na</w:t>
      </w:r>
      <w:r>
        <w:rPr>
          <w:rFonts w:ascii="Cambria Math" w:hAnsi="Cambria Math" w:cs="Cambria Math"/>
        </w:rPr>
        <w:t>⁺</w:t>
      </w:r>
      <w:r>
        <w:t>/K</w:t>
      </w:r>
      <w:r>
        <w:rPr>
          <w:rFonts w:ascii="Cambria Math" w:hAnsi="Cambria Math" w:cs="Cambria Math"/>
        </w:rPr>
        <w:t>⁺</w:t>
      </w:r>
      <w:r>
        <w:t xml:space="preserve">-ATPase reversal mechanism described in Section 5.5e harvests the electrochemical potential energy stored in every cell's ion </w:t>
      </w:r>
      <w:proofErr w:type="gramStart"/>
      <w:r>
        <w:t>gradients</w:t>
      </w:r>
      <w:proofErr w:type="gramEnd"/>
      <w:r>
        <w:t xml:space="preserve">. Under conditions of reduced intracellular ATP and altered ionic concentrations </w:t>
      </w:r>
      <w:r w:rsidR="00321C13">
        <w:rPr>
          <w:rFonts w:ascii="Aptos" w:hAnsi="Aptos" w:cs="Aptos"/>
        </w:rPr>
        <w:t>(</w:t>
      </w:r>
      <w:r>
        <w:t>conditions the organism's own activities converge to produce</w:t>
      </w:r>
      <w:r w:rsidR="00321C13">
        <w:t>)</w:t>
      </w:r>
      <w:r>
        <w:t xml:space="preserve"> the pump operates in reverse, synthesizing ATP from ADP and inorganic phosphate (Garrahan and Glynn, 1966; Schwarz et al., 1991). This is not </w:t>
      </w:r>
      <w:proofErr w:type="gramStart"/>
      <w:r>
        <w:t>a fuel</w:t>
      </w:r>
      <w:proofErr w:type="gramEnd"/>
      <w:r>
        <w:t xml:space="preserve"> the organism delivers. It is a reserve the host has been carrying in every cell, inaccessible under normal physiological conditions, unlocked by the ionic manipulation the organism performs. The ion gradients that the cell spent its lifetime building become the last fuel reserve. Two hundred million years of </w:t>
      </w:r>
      <w:r w:rsidR="00DD6777">
        <w:t>coevolution</w:t>
      </w:r>
      <w:r>
        <w:t>ary refinement is sufficient time to discover a reserve that the host's own biology never needed to access.</w:t>
      </w:r>
    </w:p>
    <w:p w14:paraId="334986E7" w14:textId="77777777" w:rsidR="000F3566" w:rsidRDefault="000F3566" w:rsidP="000F3566">
      <w:pPr>
        <w:pStyle w:val="Heading3"/>
      </w:pPr>
      <w:r>
        <w:t>Temporal Weighting: The Dominant Channel Shifts</w:t>
      </w:r>
    </w:p>
    <w:p w14:paraId="0AA3D8B7" w14:textId="77777777" w:rsidR="000F3566" w:rsidRDefault="000F3566" w:rsidP="000F3566">
      <w:proofErr w:type="gramStart"/>
      <w:r>
        <w:t>All of</w:t>
      </w:r>
      <w:proofErr w:type="gramEnd"/>
      <w:r>
        <w:t xml:space="preserve"> these channels operate simultaneously. At any given moment, yeast-form cells in the gut lumen are harvesting glucose, cells at mucosal boundaries are processing glycoconjugates, cells in tissue are digesting proteins and lipids, and cells at </w:t>
      </w:r>
      <w:proofErr w:type="gramStart"/>
      <w:r>
        <w:t>sites of active</w:t>
      </w:r>
      <w:proofErr w:type="gramEnd"/>
      <w:r>
        <w:t xml:space="preserve"> ionic manipulation are tapping gradient energy. The distributed system does not switch between fuel sources the way an engine switches between gasoline and diesel. It runs all of them at once, at different locations, through different cells, each adapted to its local substrate environment. This is substrate multiplexing: a parallel metabolic architecture matching the parallel signaling architecture described in Section 5.7.</w:t>
      </w:r>
    </w:p>
    <w:p w14:paraId="698660A0" w14:textId="77777777" w:rsidR="000F3566" w:rsidRDefault="000F3566" w:rsidP="000F3566">
      <w:r>
        <w:lastRenderedPageBreak/>
        <w:t xml:space="preserve">What changes over the course of the program is not which channels are </w:t>
      </w:r>
      <w:proofErr w:type="gramStart"/>
      <w:r>
        <w:t>active</w:t>
      </w:r>
      <w:proofErr w:type="gramEnd"/>
      <w:r>
        <w:t xml:space="preserve"> but where the aggregate metabolic weight sits — which channel is dominant, which substrate demand is loudest, and consequently which behavioral signal the host experiences.</w:t>
      </w:r>
    </w:p>
    <w:p w14:paraId="23508256" w14:textId="6E7D2668" w:rsidR="000F3566" w:rsidRDefault="000F3566" w:rsidP="000F3566">
      <w:r>
        <w:t xml:space="preserve">The longitudinal case study documents this shift as a progressive change in dietary cravings (Craddock, </w:t>
      </w:r>
      <w:r w:rsidR="009B06E6">
        <w:t>2026c)</w:t>
      </w:r>
      <w:r>
        <w:t>. Sugar cravings dominated early phases, consistent with glucose being the dominant substrate demand. Mixed sugar and salt cravings characterized intermediate phases, reflecting the transition as lipid and protein channels gained metabolic weight. Salt cravings dominated later phases, as the program advanced into the perfusion management and ionic manipulation stages described in Sections 4.3 and 5.5e. The host's cravings are the organism's requisition orders, communicated through the same ECS-mediated appetite channels that govern hunger and preference in the uncolonized host — but directed toward the specific substrate the dominant channel requires at each point in the program's progression.</w:t>
      </w:r>
    </w:p>
    <w:p w14:paraId="6C406277" w14:textId="77777777" w:rsidR="000F3566" w:rsidRDefault="000F3566" w:rsidP="000F3566">
      <w:pPr>
        <w:pStyle w:val="Heading3"/>
      </w:pPr>
      <w:r>
        <w:t>The Fasting-Mimicking State: Remodeling Through Metabolic Environment</w:t>
      </w:r>
    </w:p>
    <w:p w14:paraId="2A7A4DAB" w14:textId="7DEEBE33" w:rsidR="000F3566" w:rsidRDefault="000F3566" w:rsidP="000F3566">
      <w:r>
        <w:t>The substrate architecture produces a secondary effect that may explain how the organism achieves tissue remodeling without issuing direct cellular commands. As the organism's metabolic weight shifts from dietary glucose toward host-derived substrates</w:t>
      </w:r>
      <w:r w:rsidR="00296041">
        <w:t>,</w:t>
      </w:r>
      <w:r>
        <w:t xml:space="preserve"> </w:t>
      </w:r>
      <w:r w:rsidR="00296041">
        <w:t>including</w:t>
      </w:r>
      <w:r>
        <w:t xml:space="preserve"> lipids, proteins, ATP, ion gradients</w:t>
      </w:r>
      <w:r w:rsidR="00296041">
        <w:t xml:space="preserve">, </w:t>
      </w:r>
      <w:r>
        <w:t>the host's cells experience a paradox: the host continues to eat, but the cells receive less. The organism diverts substrate through its own channels before the host's cells receive their share. The result is a cellular environment biochemically resembling fasting: reduced available glucose, elevated ketone bodies, activated autophagy, suppressed IGF-1 signaling.</w:t>
      </w:r>
    </w:p>
    <w:p w14:paraId="40E25403" w14:textId="77777777" w:rsidR="000F3566" w:rsidRDefault="000F3566" w:rsidP="000F3566">
      <w:r>
        <w:t>These are the conditions documented in fasting-mimicking research to promote cellular regeneration, autophagic clearance of damaged cells, immune system renewal, and stem cell activation. The organism does not need to command apoptosis. It does not need to issue molecular instructions for tissue remodeling. It needs only to create the metabolic conditions under which the host's own housekeeping programs activate automatically. The host's cells detect apparent substrate scarcity. They respond with the maintenance and clearance programs that scarcity triggers. The organism achieves tissue remodeling by adjusting the metabolic environment, not by directing the remodeling itself.</w:t>
      </w:r>
    </w:p>
    <w:p w14:paraId="1DDCCDF2" w14:textId="77777777" w:rsidR="000F3566" w:rsidRDefault="000F3566" w:rsidP="000F3566">
      <w:r>
        <w:t>This is consistent with the broader operational logic described throughout Section 5: the organism manages conditions rather than issuing commands. Farnesol manages the niche rather than directing individual cells (Section 5.7). The alkalinization program manages pH rather than attacking immune cells directly (Section 5.5e). The substrate architecture manages the metabolic environment rather than controlling individual cellular fates. The biochemical computer does not micromanage. It sets the parameters and lets the host's own systems respond.</w:t>
      </w:r>
    </w:p>
    <w:p w14:paraId="2C19DD69" w14:textId="77777777" w:rsidR="000F3566" w:rsidRDefault="000F3566" w:rsidP="000F3566">
      <w:pPr>
        <w:pStyle w:val="Heading3"/>
      </w:pPr>
      <w:r>
        <w:t>Evolutionary Context: Why This Flexibility Exists</w:t>
      </w:r>
    </w:p>
    <w:p w14:paraId="4DB180A6" w14:textId="39044F86" w:rsidR="000F3566" w:rsidRDefault="000F3566" w:rsidP="000F3566">
      <w:r>
        <w:t xml:space="preserve">The metabolic flexibility described here is not incidental. It is what 200 million years of </w:t>
      </w:r>
      <w:r w:rsidR="00DD6777">
        <w:t>coevolution</w:t>
      </w:r>
      <w:r>
        <w:t xml:space="preserve"> with mammalian hosts selected for. An organism locked into a single fuel source is vulnerable to any change in that fuel's availability </w:t>
      </w:r>
      <w:r w:rsidR="00296041">
        <w:t>such as</w:t>
      </w:r>
      <w:r>
        <w:t xml:space="preserve"> dietary shifts, fasting, illness, seasonal variation, </w:t>
      </w:r>
      <w:r w:rsidR="00296041">
        <w:t xml:space="preserve">and </w:t>
      </w:r>
      <w:r>
        <w:t>migration to new environments. An organism that can eat glucose from the lumen, lipids from membranes, proteins from tissue, lactate from immune cells, ketones from the liver, ATP from cellular pores, and gradient energy from ion pumps is vulnerable to nothing except the absence of the host itself. Every fuel source except the first is the host.</w:t>
      </w:r>
    </w:p>
    <w:p w14:paraId="20204E02" w14:textId="77777777" w:rsidR="000F3566" w:rsidRDefault="000F3566" w:rsidP="000F3566">
      <w:r>
        <w:t xml:space="preserve">This is the metabolic dimension of the positional authority described in Section 5.9. The organism does not merely signal across the host's receptor landscape. It feeds across the host's </w:t>
      </w:r>
      <w:r>
        <w:lastRenderedPageBreak/>
        <w:t>metabolic landscape, maintaining parallel substrate channels that collectively ensure continuous operation regardless of what is happening at any single tissue site. The ant colony analogy from Section 5.7 extends here: different cells at different locations eating different things, with no single cell's feeding strategy representing the whole system's metabolic architecture. The colony's food supply is the host itself, accessed through every available interface, sustained by the metabolic flexibility that 200 million years of selection refined.</w:t>
      </w:r>
    </w:p>
    <w:p w14:paraId="248F7A3C" w14:textId="77777777" w:rsidR="000F3566" w:rsidRDefault="000F3566" w:rsidP="000F3566">
      <w:pPr>
        <w:pStyle w:val="Heading3"/>
      </w:pPr>
      <w:r>
        <w:t>Sensing Requirements for Substrate Multiplexing</w:t>
      </w:r>
    </w:p>
    <w:p w14:paraId="52BADD4E" w14:textId="2D14906C" w:rsidR="000F3566" w:rsidRDefault="000F3566" w:rsidP="000F3566">
      <w:r>
        <w:t xml:space="preserve">The organism's capacity to maintain parallel substrate channels and shift metabolic weight between them is not passive opportunism. It requires continuous environmental sensing at every tissue location: glucose availability through </w:t>
      </w:r>
      <w:r w:rsidR="00355FA7" w:rsidRPr="00355FA7">
        <w:t>the Hgt4 membrane sensor</w:t>
      </w:r>
      <w:r>
        <w:t xml:space="preserve"> (Section 5.7), amino acid availability through the SPS sensor system (Section 5.7), pH through Rim101, oxygen tension through metabolic pathway regulation, CO₂ through Cyr1, temperature through Hsp90, and lipid availability through mechanisms that remain incompletely characterized. The insulin and GLP-1 crosstalk documented in Section 5.5 (</w:t>
      </w:r>
      <w:proofErr w:type="spellStart"/>
      <w:r>
        <w:t>Peroumal</w:t>
      </w:r>
      <w:proofErr w:type="spellEnd"/>
      <w:r>
        <w:t xml:space="preserve"> et al., 2022) provides additional information about the host's systemic metabolic state</w:t>
      </w:r>
      <w:r w:rsidR="00296041">
        <w:t xml:space="preserve">: </w:t>
      </w:r>
      <w:r>
        <w:t xml:space="preserve">whether the host is fed or fasting, whether glucose is abundant or depleted, </w:t>
      </w:r>
      <w:r w:rsidR="00296041">
        <w:t xml:space="preserve">and </w:t>
      </w:r>
      <w:r>
        <w:t>whether the host's own metabolism has shifted toward ketogenesis.</w:t>
      </w:r>
    </w:p>
    <w:p w14:paraId="684849C1" w14:textId="77777777" w:rsidR="000F3566" w:rsidRDefault="000F3566" w:rsidP="000F3566">
      <w:r>
        <w:t>The input channel inventory described in Section 5.7 is not only the organism's sensory system for managing the host environment. It is also its metabolic compass. The same sensors that tell the organism what the host is doing physiologically tell it what fuel is available locally. The sensing architecture and the substrate architecture are unified: the organism reads the environment and eats what it finds, through the same molecular infrastructure, in the same continuous adaptive process. For a biochemical computer, sensing and feeding are not separate operations. They are the same computation. The organism takes in a matrix of variables – independent at every site – and compiles the inputs against coded memory producing multiple contingencies which are then selected by success and failure.</w:t>
      </w:r>
    </w:p>
    <w:p w14:paraId="1B8E7E11" w14:textId="77777777" w:rsidR="00303C34" w:rsidRDefault="00000000">
      <w:r>
        <w:pict w14:anchorId="296A1A21">
          <v:rect id="_x0000_i1338" style="width:0;height:1.5pt" o:hralign="center" o:hrstd="t" o:hr="t"/>
        </w:pict>
      </w:r>
    </w:p>
    <w:p w14:paraId="44870BF2" w14:textId="3497FCA4" w:rsidR="00303C34" w:rsidRDefault="000B097D">
      <w:r w:rsidRPr="000B097D">
        <w:rPr>
          <w:noProof/>
        </w:rPr>
        <w:lastRenderedPageBreak/>
        <w:drawing>
          <wp:inline distT="0" distB="0" distL="0" distR="0" wp14:anchorId="45C3E317" wp14:editId="5A5857BB">
            <wp:extent cx="5943600" cy="5314950"/>
            <wp:effectExtent l="0" t="0" r="0" b="0"/>
            <wp:docPr id="18641926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92663"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943600" cy="5314950"/>
                    </a:xfrm>
                    <a:prstGeom prst="rect">
                      <a:avLst/>
                    </a:prstGeom>
                  </pic:spPr>
                </pic:pic>
              </a:graphicData>
            </a:graphic>
          </wp:inline>
        </w:drawing>
      </w:r>
    </w:p>
    <w:p w14:paraId="0BE21E7B" w14:textId="77777777" w:rsidR="00303C34" w:rsidRDefault="006C3A6A">
      <w:pPr>
        <w:pStyle w:val="Heading1"/>
      </w:pPr>
      <w:bookmarkStart w:id="29" w:name="Xb59413a6fdcd09e557849b32d8d95299d4ef124"/>
      <w:bookmarkEnd w:id="18"/>
      <w:bookmarkEnd w:id="28"/>
      <w:r>
        <w:t>6. The Evolutionary Trinity: Language as Accelerant</w:t>
      </w:r>
    </w:p>
    <w:p w14:paraId="7CB806CF" w14:textId="77777777" w:rsidR="00303C34" w:rsidRDefault="006C3A6A">
      <w:pPr>
        <w:pStyle w:val="Heading2"/>
      </w:pPr>
      <w:bookmarkStart w:id="30" w:name="three-co-evolving-components"/>
      <w:r>
        <w:t>6.1 Three Co-Evolving Components</w:t>
      </w:r>
    </w:p>
    <w:p w14:paraId="3AEA20E5" w14:textId="5A70646F" w:rsidR="00303C34" w:rsidRDefault="006C3A6A" w:rsidP="00556297">
      <w:r>
        <w:t xml:space="preserve">The Saline Oscillation Hypothesis proposes that the full </w:t>
      </w:r>
      <w:r w:rsidR="00DD6777">
        <w:t>coevolution</w:t>
      </w:r>
      <w:r>
        <w:t>ary architecture required three simultaneously reinforcing components, a “trinity”:</w:t>
      </w:r>
    </w:p>
    <w:p w14:paraId="42FCC809" w14:textId="77777777" w:rsidR="00303C34" w:rsidRDefault="006C3A6A" w:rsidP="00556297">
      <w:r>
        <w:rPr>
          <w:b/>
          <w:bCs/>
        </w:rPr>
        <w:t>The fungal symbiont</w:t>
      </w:r>
      <w:r>
        <w:t>, operating through the ECS and the expanded control surface described in Section 5 to modulate host physiology, perfusion, electrolyte balance, and cognition</w:t>
      </w:r>
    </w:p>
    <w:p w14:paraId="7692C8C0" w14:textId="77777777" w:rsidR="00303C34" w:rsidRDefault="006C3A6A" w:rsidP="00556297">
      <w:r>
        <w:rPr>
          <w:b/>
          <w:bCs/>
        </w:rPr>
        <w:t>Host physiology</w:t>
      </w:r>
      <w:r>
        <w:t>, including the cardiac suction mechanism, IVC dynamics, ECS interface, and Na⁺/K⁺-ATPase architecture</w:t>
      </w:r>
    </w:p>
    <w:p w14:paraId="782C5287" w14:textId="77777777" w:rsidR="00303C34" w:rsidRDefault="006C3A6A" w:rsidP="00556297">
      <w:r>
        <w:rPr>
          <w:b/>
          <w:bCs/>
        </w:rPr>
        <w:t>Cooperative social structure</w:t>
      </w:r>
      <w:r>
        <w:t xml:space="preserve">, initiated by communal </w:t>
      </w:r>
      <w:proofErr w:type="spellStart"/>
      <w:r>
        <w:t>phytocannabinoid</w:t>
      </w:r>
      <w:proofErr w:type="spellEnd"/>
      <w:r>
        <w:t xml:space="preserve"> use promoting peaceful bonding, later formalized through language-enabled elder care and pharmacological support</w:t>
      </w:r>
    </w:p>
    <w:p w14:paraId="5766EAB8" w14:textId="77777777" w:rsidR="00303C34" w:rsidRDefault="006C3A6A" w:rsidP="00556297">
      <w:r>
        <w:lastRenderedPageBreak/>
        <w:t xml:space="preserve">Two of these legs, the symbiont (present as a commensal) and the social structure (initiated by the cannabinoid flywheel), were established before the salinity oscillations began. Language did not create the trinity. Language completed the </w:t>
      </w:r>
      <w:proofErr w:type="gramStart"/>
      <w:r>
        <w:t>trinity, and</w:t>
      </w:r>
      <w:proofErr w:type="gramEnd"/>
      <w:r>
        <w:t xml:space="preserve"> allowed it to accelerate.</w:t>
      </w:r>
    </w:p>
    <w:p w14:paraId="2247816B" w14:textId="77777777" w:rsidR="00303C34" w:rsidRDefault="006C3A6A">
      <w:pPr>
        <w:pStyle w:val="Heading2"/>
      </w:pPr>
      <w:bookmarkStart w:id="31" w:name="X4f69557bb23285e1ebbec82c4c9cedbde2ea937"/>
      <w:bookmarkEnd w:id="30"/>
      <w:r>
        <w:t>6.2 Language and the Transmission of Late-Stage Cognitive Enhancement</w:t>
      </w:r>
    </w:p>
    <w:p w14:paraId="2C3CA0EB" w14:textId="2EA53318" w:rsidR="00303C34" w:rsidRDefault="006C3A6A" w:rsidP="00556297">
      <w:r>
        <w:t xml:space="preserve">The ECS modulates neuroplasticity, pain perception, and cognitive function (Di Marzo and Piscitelli, 2015). Late-stage symbiont activity produces pain-free windows concurrent with enhanced cognitive clarity and creative drive. This is documented both in the historical cohort (Craddock, </w:t>
      </w:r>
      <w:r w:rsidR="009B06E6">
        <w:t>2026c)</w:t>
      </w:r>
      <w:r>
        <w:t xml:space="preserve"> and consistent with known CB1-mediated neurological effects.</w:t>
      </w:r>
    </w:p>
    <w:p w14:paraId="2CF60FF2" w14:textId="77777777" w:rsidR="00303C34" w:rsidRDefault="006C3A6A" w:rsidP="00556297">
      <w:r>
        <w:t xml:space="preserve">In pre-linguistic hominids, this late-stage cognitive enhancement had limited transmission bandwidth. Tool-making demonstrations, gestural communication, and behavioral imitation could transmit some knowledge as evidenced by the </w:t>
      </w:r>
      <w:proofErr w:type="spellStart"/>
      <w:r>
        <w:t>Lomekwi</w:t>
      </w:r>
      <w:proofErr w:type="spellEnd"/>
      <w:r>
        <w:t xml:space="preserve"> tools (3.3 Ma) predating any evidence of language. However, the abstract, strategic, and philosophical content documented in the historical cohort (where common Everyman subjects in the final stages discussed deeply complex topics with extraordinary clarity) requires symbolic language for transmission. Language did not create the survival value of late-stage clarity; it amplified it by orders of magnitude.</w:t>
      </w:r>
    </w:p>
    <w:p w14:paraId="76CE6FB5" w14:textId="77777777" w:rsidR="00303C34" w:rsidRDefault="006C3A6A" w:rsidP="00556297">
      <w:r>
        <w:t xml:space="preserve">With the emergence of language, for which </w:t>
      </w:r>
      <w:r>
        <w:rPr>
          <w:i/>
          <w:iCs/>
        </w:rPr>
        <w:t>Homo habilis</w:t>
      </w:r>
      <w:r>
        <w:t xml:space="preserve"> (KNM ER 1813, ~1.9 Ma) shows an enlarged Broca’s area visible in the cranium, and for which the endocast of KNM-WT 15000 (</w:t>
      </w:r>
      <w:r>
        <w:rPr>
          <w:i/>
          <w:iCs/>
        </w:rPr>
        <w:t>Homo erectus</w:t>
      </w:r>
      <w:r>
        <w:t>, ~1.6 Ma) shows Broca’s area asymmetry (Walker and Leakey, 1993; Turkana Basin Institute, 2021), the lucid elder could articulate insights, strategies, and knowledge with full symbolic complexity. The social group that protected its elders during late-stage decline received this transmission; groups that discarded the weak lost it.</w:t>
      </w:r>
    </w:p>
    <w:p w14:paraId="68A066D1" w14:textId="77777777" w:rsidR="00303C34" w:rsidRDefault="006C3A6A" w:rsidP="00556297">
      <w:r>
        <w:t>This creates a three-way selection pressure: the symbiont benefits from extended host survival (longer cycle completion); the host’s social group benefits from the elder’s clarity; and the social structure itself is reinforced by the value of what the elder produces. Language is the accelerant that transforms a modest survival advantage into a civilizational engine.</w:t>
      </w:r>
    </w:p>
    <w:p w14:paraId="6C9547B3" w14:textId="77777777" w:rsidR="00303C34" w:rsidRDefault="006C3A6A">
      <w:pPr>
        <w:pStyle w:val="Heading2"/>
      </w:pPr>
      <w:bookmarkStart w:id="32" w:name="evidence-from-the-fossil-record"/>
      <w:bookmarkEnd w:id="31"/>
      <w:r>
        <w:t>6.3 Evidence from the Fossil Record</w:t>
      </w:r>
    </w:p>
    <w:tbl>
      <w:tblPr>
        <w:tblStyle w:val="Table"/>
        <w:tblW w:w="5000" w:type="pct"/>
        <w:tblLook w:val="0020" w:firstRow="1" w:lastRow="0" w:firstColumn="0" w:lastColumn="0" w:noHBand="0" w:noVBand="0"/>
      </w:tblPr>
      <w:tblGrid>
        <w:gridCol w:w="2127"/>
        <w:gridCol w:w="1553"/>
        <w:gridCol w:w="2443"/>
        <w:gridCol w:w="3237"/>
      </w:tblGrid>
      <w:tr w:rsidR="00303C34" w14:paraId="1B72FC0F" w14:textId="77777777" w:rsidTr="00303C34">
        <w:trPr>
          <w:cnfStyle w:val="100000000000" w:firstRow="1" w:lastRow="0" w:firstColumn="0" w:lastColumn="0" w:oddVBand="0" w:evenVBand="0" w:oddHBand="0" w:evenHBand="0" w:firstRowFirstColumn="0" w:firstRowLastColumn="0" w:lastRowFirstColumn="0" w:lastRowLastColumn="0"/>
          <w:tblHeader/>
        </w:trPr>
        <w:tc>
          <w:tcPr>
            <w:tcW w:w="0" w:type="auto"/>
          </w:tcPr>
          <w:p w14:paraId="35EC8DD2" w14:textId="77777777" w:rsidR="00303C34" w:rsidRDefault="006C3A6A">
            <w:pPr>
              <w:pStyle w:val="Compact"/>
            </w:pPr>
            <w:r>
              <w:rPr>
                <w:b/>
                <w:bCs/>
              </w:rPr>
              <w:t>Species</w:t>
            </w:r>
          </w:p>
        </w:tc>
        <w:tc>
          <w:tcPr>
            <w:tcW w:w="0" w:type="auto"/>
          </w:tcPr>
          <w:p w14:paraId="4F098B6D" w14:textId="77777777" w:rsidR="00303C34" w:rsidRDefault="006C3A6A">
            <w:pPr>
              <w:pStyle w:val="Compact"/>
            </w:pPr>
            <w:r>
              <w:rPr>
                <w:b/>
                <w:bCs/>
              </w:rPr>
              <w:t>Date</w:t>
            </w:r>
          </w:p>
        </w:tc>
        <w:tc>
          <w:tcPr>
            <w:tcW w:w="0" w:type="auto"/>
          </w:tcPr>
          <w:p w14:paraId="3C36C225" w14:textId="77777777" w:rsidR="00303C34" w:rsidRDefault="006C3A6A">
            <w:pPr>
              <w:pStyle w:val="Compact"/>
            </w:pPr>
            <w:r>
              <w:rPr>
                <w:b/>
                <w:bCs/>
              </w:rPr>
              <w:t>Location</w:t>
            </w:r>
          </w:p>
        </w:tc>
        <w:tc>
          <w:tcPr>
            <w:tcW w:w="0" w:type="auto"/>
          </w:tcPr>
          <w:p w14:paraId="1BC2CE59" w14:textId="77777777" w:rsidR="00303C34" w:rsidRDefault="006C3A6A">
            <w:pPr>
              <w:pStyle w:val="Compact"/>
            </w:pPr>
            <w:r>
              <w:rPr>
                <w:b/>
                <w:bCs/>
              </w:rPr>
              <w:t>Relevant Feature</w:t>
            </w:r>
          </w:p>
        </w:tc>
      </w:tr>
      <w:tr w:rsidR="00303C34" w14:paraId="6F5BB35E" w14:textId="77777777">
        <w:tc>
          <w:tcPr>
            <w:tcW w:w="0" w:type="auto"/>
          </w:tcPr>
          <w:p w14:paraId="253C891E" w14:textId="77777777" w:rsidR="00303C34" w:rsidRDefault="006C3A6A">
            <w:pPr>
              <w:pStyle w:val="Compact"/>
            </w:pPr>
            <w:r>
              <w:rPr>
                <w:i/>
                <w:iCs/>
              </w:rPr>
              <w:t>A. afarensis</w:t>
            </w:r>
            <w:r>
              <w:t xml:space="preserve"> (Lucy)</w:t>
            </w:r>
          </w:p>
        </w:tc>
        <w:tc>
          <w:tcPr>
            <w:tcW w:w="0" w:type="auto"/>
          </w:tcPr>
          <w:p w14:paraId="1E650A2F" w14:textId="77777777" w:rsidR="00303C34" w:rsidRDefault="006C3A6A">
            <w:pPr>
              <w:pStyle w:val="Compact"/>
            </w:pPr>
            <w:r>
              <w:t>~3.2 Ma</w:t>
            </w:r>
          </w:p>
        </w:tc>
        <w:tc>
          <w:tcPr>
            <w:tcW w:w="0" w:type="auto"/>
          </w:tcPr>
          <w:p w14:paraId="25446F17" w14:textId="77777777" w:rsidR="00303C34" w:rsidRDefault="006C3A6A">
            <w:pPr>
              <w:pStyle w:val="Compact"/>
            </w:pPr>
            <w:r>
              <w:t>Afar Triangle</w:t>
            </w:r>
          </w:p>
        </w:tc>
        <w:tc>
          <w:tcPr>
            <w:tcW w:w="0" w:type="auto"/>
          </w:tcPr>
          <w:p w14:paraId="4D6679CE" w14:textId="77777777" w:rsidR="00303C34" w:rsidRDefault="006C3A6A">
            <w:pPr>
              <w:pStyle w:val="Compact"/>
            </w:pPr>
            <w:r>
              <w:t xml:space="preserve">Bipedal, social groups, freshwater lakes, cannabinoid </w:t>
            </w:r>
            <w:proofErr w:type="gramStart"/>
            <w:r>
              <w:t>flywheel</w:t>
            </w:r>
            <w:proofErr w:type="gramEnd"/>
            <w:r>
              <w:t xml:space="preserve"> plausibly active</w:t>
            </w:r>
          </w:p>
        </w:tc>
      </w:tr>
      <w:tr w:rsidR="00303C34" w14:paraId="46514776" w14:textId="77777777">
        <w:tc>
          <w:tcPr>
            <w:tcW w:w="0" w:type="auto"/>
          </w:tcPr>
          <w:p w14:paraId="2BFD0DB1" w14:textId="77777777" w:rsidR="00303C34" w:rsidRDefault="006C3A6A">
            <w:pPr>
              <w:pStyle w:val="Compact"/>
            </w:pPr>
            <w:proofErr w:type="spellStart"/>
            <w:r>
              <w:t>Lomekwi</w:t>
            </w:r>
            <w:proofErr w:type="spellEnd"/>
            <w:r>
              <w:t xml:space="preserve"> Tools</w:t>
            </w:r>
          </w:p>
        </w:tc>
        <w:tc>
          <w:tcPr>
            <w:tcW w:w="0" w:type="auto"/>
          </w:tcPr>
          <w:p w14:paraId="2603128C" w14:textId="77777777" w:rsidR="00303C34" w:rsidRDefault="006C3A6A">
            <w:pPr>
              <w:pStyle w:val="Compact"/>
            </w:pPr>
            <w:r>
              <w:t>~3.3 Ma</w:t>
            </w:r>
          </w:p>
        </w:tc>
        <w:tc>
          <w:tcPr>
            <w:tcW w:w="0" w:type="auto"/>
          </w:tcPr>
          <w:p w14:paraId="5EEB5721" w14:textId="77777777" w:rsidR="00303C34" w:rsidRDefault="006C3A6A">
            <w:pPr>
              <w:pStyle w:val="Compact"/>
            </w:pPr>
            <w:r>
              <w:t>Lake Turkana</w:t>
            </w:r>
          </w:p>
        </w:tc>
        <w:tc>
          <w:tcPr>
            <w:tcW w:w="0" w:type="auto"/>
          </w:tcPr>
          <w:p w14:paraId="057A77C4" w14:textId="77777777" w:rsidR="00303C34" w:rsidRDefault="006C3A6A">
            <w:pPr>
              <w:pStyle w:val="Compact"/>
            </w:pPr>
            <w:r>
              <w:t xml:space="preserve">Cognitive sophistication predating </w:t>
            </w:r>
            <w:r>
              <w:rPr>
                <w:i/>
                <w:iCs/>
              </w:rPr>
              <w:t>Homo</w:t>
            </w:r>
            <w:r>
              <w:t>, same salt basin</w:t>
            </w:r>
          </w:p>
        </w:tc>
      </w:tr>
      <w:tr w:rsidR="00303C34" w14:paraId="2CC8F5DC" w14:textId="77777777">
        <w:tc>
          <w:tcPr>
            <w:tcW w:w="0" w:type="auto"/>
          </w:tcPr>
          <w:p w14:paraId="372F489E" w14:textId="77777777" w:rsidR="00303C34" w:rsidRDefault="006C3A6A">
            <w:pPr>
              <w:pStyle w:val="Compact"/>
            </w:pPr>
            <w:r>
              <w:rPr>
                <w:i/>
                <w:iCs/>
              </w:rPr>
              <w:t>H. habilis</w:t>
            </w:r>
          </w:p>
        </w:tc>
        <w:tc>
          <w:tcPr>
            <w:tcW w:w="0" w:type="auto"/>
          </w:tcPr>
          <w:p w14:paraId="2C01AB91" w14:textId="77777777" w:rsidR="00303C34" w:rsidRDefault="006C3A6A">
            <w:pPr>
              <w:pStyle w:val="Compact"/>
            </w:pPr>
            <w:r>
              <w:t>~1.9 Ma</w:t>
            </w:r>
          </w:p>
        </w:tc>
        <w:tc>
          <w:tcPr>
            <w:tcW w:w="0" w:type="auto"/>
          </w:tcPr>
          <w:p w14:paraId="571FAF2B" w14:textId="77777777" w:rsidR="00303C34" w:rsidRDefault="006C3A6A">
            <w:pPr>
              <w:pStyle w:val="Compact"/>
            </w:pPr>
            <w:r>
              <w:t>East Africa</w:t>
            </w:r>
          </w:p>
        </w:tc>
        <w:tc>
          <w:tcPr>
            <w:tcW w:w="0" w:type="auto"/>
          </w:tcPr>
          <w:p w14:paraId="758FE81F" w14:textId="77777777" w:rsidR="00303C34" w:rsidRDefault="006C3A6A">
            <w:pPr>
              <w:pStyle w:val="Compact"/>
            </w:pPr>
            <w:r>
              <w:t>Enlarged Broca’s area, proto-language capacity</w:t>
            </w:r>
          </w:p>
        </w:tc>
      </w:tr>
      <w:tr w:rsidR="00303C34" w14:paraId="33034D10" w14:textId="77777777">
        <w:tc>
          <w:tcPr>
            <w:tcW w:w="0" w:type="auto"/>
          </w:tcPr>
          <w:p w14:paraId="348CB17E" w14:textId="77777777" w:rsidR="00303C34" w:rsidRDefault="006C3A6A">
            <w:pPr>
              <w:pStyle w:val="Compact"/>
            </w:pPr>
            <w:r>
              <w:rPr>
                <w:i/>
                <w:iCs/>
              </w:rPr>
              <w:t>P. boisei</w:t>
            </w:r>
          </w:p>
        </w:tc>
        <w:tc>
          <w:tcPr>
            <w:tcW w:w="0" w:type="auto"/>
          </w:tcPr>
          <w:p w14:paraId="14820DEF" w14:textId="77777777" w:rsidR="00303C34" w:rsidRDefault="006C3A6A">
            <w:pPr>
              <w:pStyle w:val="Compact"/>
            </w:pPr>
            <w:r>
              <w:t>~1.75 Ma</w:t>
            </w:r>
          </w:p>
        </w:tc>
        <w:tc>
          <w:tcPr>
            <w:tcW w:w="0" w:type="auto"/>
          </w:tcPr>
          <w:p w14:paraId="5C5D5786" w14:textId="77777777" w:rsidR="00303C34" w:rsidRDefault="006C3A6A">
            <w:pPr>
              <w:pStyle w:val="Compact"/>
            </w:pPr>
            <w:r>
              <w:t>Olduvai/Natron</w:t>
            </w:r>
          </w:p>
        </w:tc>
        <w:tc>
          <w:tcPr>
            <w:tcW w:w="0" w:type="auto"/>
          </w:tcPr>
          <w:p w14:paraId="03F39762" w14:textId="77777777" w:rsidR="00303C34" w:rsidRDefault="006C3A6A">
            <w:pPr>
              <w:pStyle w:val="Compact"/>
            </w:pPr>
            <w:r>
              <w:t>Dietary specialist, evolutionary dead end</w:t>
            </w:r>
          </w:p>
        </w:tc>
      </w:tr>
      <w:tr w:rsidR="00303C34" w14:paraId="4E6F62CF" w14:textId="77777777">
        <w:tc>
          <w:tcPr>
            <w:tcW w:w="0" w:type="auto"/>
          </w:tcPr>
          <w:p w14:paraId="20B03D13" w14:textId="77777777" w:rsidR="00303C34" w:rsidRDefault="006C3A6A">
            <w:pPr>
              <w:pStyle w:val="Compact"/>
            </w:pPr>
            <w:r>
              <w:rPr>
                <w:i/>
                <w:iCs/>
              </w:rPr>
              <w:t>H. erectus</w:t>
            </w:r>
            <w:r>
              <w:t xml:space="preserve"> (Turkana Boy)</w:t>
            </w:r>
          </w:p>
        </w:tc>
        <w:tc>
          <w:tcPr>
            <w:tcW w:w="0" w:type="auto"/>
          </w:tcPr>
          <w:p w14:paraId="2423C8B6" w14:textId="77777777" w:rsidR="00303C34" w:rsidRDefault="006C3A6A">
            <w:pPr>
              <w:pStyle w:val="Compact"/>
            </w:pPr>
            <w:r>
              <w:t>~1.6 Ma</w:t>
            </w:r>
          </w:p>
        </w:tc>
        <w:tc>
          <w:tcPr>
            <w:tcW w:w="0" w:type="auto"/>
          </w:tcPr>
          <w:p w14:paraId="0BD7BA8C" w14:textId="77777777" w:rsidR="00303C34" w:rsidRDefault="006C3A6A">
            <w:pPr>
              <w:pStyle w:val="Compact"/>
            </w:pPr>
            <w:r>
              <w:t>Lake Turkana</w:t>
            </w:r>
          </w:p>
        </w:tc>
        <w:tc>
          <w:tcPr>
            <w:tcW w:w="0" w:type="auto"/>
          </w:tcPr>
          <w:p w14:paraId="6E1C4AD3" w14:textId="77777777" w:rsidR="00303C34" w:rsidRDefault="006C3A6A">
            <w:pPr>
              <w:pStyle w:val="Compact"/>
            </w:pPr>
            <w:r>
              <w:t>Broca’s area asymmetry, long-distance running, cooperative hunting, periodic saline lakes</w:t>
            </w:r>
          </w:p>
        </w:tc>
      </w:tr>
      <w:tr w:rsidR="00303C34" w14:paraId="3226D4E1" w14:textId="77777777">
        <w:tc>
          <w:tcPr>
            <w:tcW w:w="0" w:type="auto"/>
          </w:tcPr>
          <w:p w14:paraId="222E773E" w14:textId="77777777" w:rsidR="00303C34" w:rsidRDefault="006C3A6A">
            <w:pPr>
              <w:pStyle w:val="Compact"/>
            </w:pPr>
            <w:r>
              <w:lastRenderedPageBreak/>
              <w:t>First dispersal</w:t>
            </w:r>
          </w:p>
        </w:tc>
        <w:tc>
          <w:tcPr>
            <w:tcW w:w="0" w:type="auto"/>
          </w:tcPr>
          <w:p w14:paraId="6BA14968" w14:textId="77777777" w:rsidR="00303C34" w:rsidRDefault="006C3A6A">
            <w:pPr>
              <w:pStyle w:val="Compact"/>
            </w:pPr>
            <w:r>
              <w:t>~1.5 Ma</w:t>
            </w:r>
          </w:p>
        </w:tc>
        <w:tc>
          <w:tcPr>
            <w:tcW w:w="0" w:type="auto"/>
          </w:tcPr>
          <w:p w14:paraId="258A0A5A" w14:textId="77777777" w:rsidR="00303C34" w:rsidRDefault="006C3A6A">
            <w:pPr>
              <w:pStyle w:val="Compact"/>
            </w:pPr>
            <w:r>
              <w:t>Out of Africa</w:t>
            </w:r>
          </w:p>
        </w:tc>
        <w:tc>
          <w:tcPr>
            <w:tcW w:w="0" w:type="auto"/>
          </w:tcPr>
          <w:p w14:paraId="3BBBE401" w14:textId="77777777" w:rsidR="00303C34" w:rsidRDefault="006C3A6A">
            <w:pPr>
              <w:pStyle w:val="Compact"/>
            </w:pPr>
            <w:r>
              <w:t>Trinity-equipped species carrying symbiont to new environments</w:t>
            </w:r>
          </w:p>
        </w:tc>
      </w:tr>
    </w:tbl>
    <w:p w14:paraId="16C17F67" w14:textId="77777777" w:rsidR="00303C34" w:rsidRDefault="00000000">
      <w:r>
        <w:pict w14:anchorId="50186FCC">
          <v:rect id="_x0000_i1339" style="width:0;height:1.5pt" o:hralign="center" o:hrstd="t" o:hr="t"/>
        </w:pict>
      </w:r>
    </w:p>
    <w:p w14:paraId="4A1AB2F5" w14:textId="1B9DF6CD" w:rsidR="00881F3E" w:rsidRDefault="00881F3E">
      <w:pPr>
        <w:rPr>
          <w:rFonts w:asciiTheme="majorHAnsi" w:eastAsiaTheme="majorEastAsia" w:hAnsiTheme="majorHAnsi" w:cstheme="majorBidi"/>
          <w:b/>
          <w:bCs/>
          <w:noProof/>
          <w:color w:val="4F81BD" w:themeColor="accent1"/>
          <w:sz w:val="32"/>
          <w:szCs w:val="32"/>
        </w:rPr>
      </w:pPr>
      <w:bookmarkStart w:id="33" w:name="X4deb503b3d9666c220b73344b71ed796a804c41"/>
      <w:bookmarkEnd w:id="29"/>
      <w:bookmarkEnd w:id="32"/>
      <w:r>
        <w:rPr>
          <w:noProof/>
        </w:rPr>
        <w:br w:type="page"/>
      </w:r>
    </w:p>
    <w:p w14:paraId="1611C66E" w14:textId="0AD0BF26" w:rsidR="000B097D" w:rsidRDefault="00881F3E" w:rsidP="00881F3E">
      <w:pPr>
        <w:jc w:val="center"/>
      </w:pPr>
      <w:r>
        <w:lastRenderedPageBreak/>
        <w:t>Figure 2 The Critical Window (3.3-1.3 Ma)</w:t>
      </w:r>
    </w:p>
    <w:p w14:paraId="4A6D8425" w14:textId="70DB838B" w:rsidR="00881F3E" w:rsidRPr="00881F3E" w:rsidRDefault="00881F3E" w:rsidP="00881F3E">
      <w:pPr>
        <w:jc w:val="center"/>
        <w:rPr>
          <w:sz w:val="16"/>
          <w:szCs w:val="16"/>
        </w:rPr>
      </w:pPr>
      <w:r w:rsidRPr="00881F3E">
        <w:rPr>
          <w:sz w:val="16"/>
          <w:szCs w:val="16"/>
        </w:rPr>
        <w:t xml:space="preserve">Convergence of </w:t>
      </w:r>
      <w:proofErr w:type="spellStart"/>
      <w:r w:rsidRPr="00881F3E">
        <w:rPr>
          <w:sz w:val="16"/>
          <w:szCs w:val="16"/>
        </w:rPr>
        <w:t>environvmental</w:t>
      </w:r>
      <w:proofErr w:type="spellEnd"/>
      <w:r w:rsidRPr="00881F3E">
        <w:rPr>
          <w:sz w:val="16"/>
          <w:szCs w:val="16"/>
        </w:rPr>
        <w:t xml:space="preserve">, biological, and </w:t>
      </w:r>
      <w:r w:rsidR="00DD6777">
        <w:rPr>
          <w:sz w:val="16"/>
          <w:szCs w:val="16"/>
        </w:rPr>
        <w:t>coevolution</w:t>
      </w:r>
      <w:r w:rsidRPr="00881F3E">
        <w:rPr>
          <w:sz w:val="16"/>
          <w:szCs w:val="16"/>
        </w:rPr>
        <w:t>ary evidence</w:t>
      </w:r>
    </w:p>
    <w:p w14:paraId="64403499" w14:textId="32198163" w:rsidR="00881F3E" w:rsidRPr="00881F3E" w:rsidRDefault="00881F3E" w:rsidP="00881F3E">
      <w:pPr>
        <w:pStyle w:val="BodyText"/>
        <w:jc w:val="center"/>
      </w:pPr>
      <w:r>
        <w:rPr>
          <w:noProof/>
        </w:rPr>
        <w:drawing>
          <wp:inline distT="0" distB="0" distL="0" distR="0" wp14:anchorId="17857EDF" wp14:editId="36414FF5">
            <wp:extent cx="4907986" cy="7772400"/>
            <wp:effectExtent l="0" t="0" r="6985" b="0"/>
            <wp:docPr id="8359050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05043" name="Picture 835905043"/>
                    <pic:cNvPicPr/>
                  </pic:nvPicPr>
                  <pic:blipFill>
                    <a:blip r:embed="rId12">
                      <a:extLst>
                        <a:ext uri="{28A0092B-C50C-407E-A947-70E740481C1C}">
                          <a14:useLocalDpi xmlns:a14="http://schemas.microsoft.com/office/drawing/2010/main" val="0"/>
                        </a:ext>
                      </a:extLst>
                    </a:blip>
                    <a:stretch>
                      <a:fillRect/>
                    </a:stretch>
                  </pic:blipFill>
                  <pic:spPr>
                    <a:xfrm>
                      <a:off x="0" y="0"/>
                      <a:ext cx="4923321" cy="7796685"/>
                    </a:xfrm>
                    <a:prstGeom prst="rect">
                      <a:avLst/>
                    </a:prstGeom>
                  </pic:spPr>
                </pic:pic>
              </a:graphicData>
            </a:graphic>
          </wp:inline>
        </w:drawing>
      </w:r>
    </w:p>
    <w:p w14:paraId="184146B8" w14:textId="20A737F7" w:rsidR="00303C34" w:rsidRDefault="006C3A6A">
      <w:pPr>
        <w:pStyle w:val="Heading1"/>
      </w:pPr>
      <w:r>
        <w:lastRenderedPageBreak/>
        <w:t>7. Archaeological Evidence for the Cannabinoid Flywheel</w:t>
      </w:r>
    </w:p>
    <w:p w14:paraId="1B42D271" w14:textId="77777777" w:rsidR="00303C34" w:rsidRDefault="006C3A6A">
      <w:pPr>
        <w:pStyle w:val="Heading2"/>
      </w:pPr>
      <w:bookmarkStart w:id="34" w:name="ritual-cannabis-use-in-mortuary-contexts"/>
      <w:r>
        <w:t>7.1 Ritual Cannabis Use in Mortuary Contexts</w:t>
      </w:r>
    </w:p>
    <w:p w14:paraId="6D900B78" w14:textId="77777777" w:rsidR="00303C34" w:rsidRDefault="006C3A6A" w:rsidP="00556297">
      <w:r>
        <w:t xml:space="preserve">The earliest scientifically verified evidence for psychoactive cannabis use comes from the </w:t>
      </w:r>
      <w:proofErr w:type="spellStart"/>
      <w:r>
        <w:t>Jirzankal</w:t>
      </w:r>
      <w:proofErr w:type="spellEnd"/>
      <w:r>
        <w:t xml:space="preserve"> Cemetery (~500 BCE) in the eastern Pamirs, where chemical analysis of wooden braziers from mortuary contexts revealed cannabinoid residues with unusually high THC levels (Ren et al., 2019). The cannabis was burned on heated stones in enclosed spaces during funerary ceremonies, a ritual context directly associated with death and transition. At the </w:t>
      </w:r>
      <w:proofErr w:type="spellStart"/>
      <w:r>
        <w:t>Yanghai</w:t>
      </w:r>
      <w:proofErr w:type="spellEnd"/>
      <w:r>
        <w:t xml:space="preserve"> tombs (~500 BCE, Turpan), a leather basket and wooden bowl filled with cannabis seeds, leaves, and shoots were found near the head and feet of a deceased individual identified as a probable high-ranking shaman (Russo et al., 2008). The Jiayi Cemetery (~800–400 BCE, also Turpan) yielded a burial shroud composed of 13 intact desiccated cannabis plants arranged over the body (Jiang et al., 2016).</w:t>
      </w:r>
    </w:p>
    <w:p w14:paraId="4A14F34E" w14:textId="77777777" w:rsidR="00303C34" w:rsidRDefault="006C3A6A" w:rsidP="00556297">
      <w:r>
        <w:t>The consistent association of cannabis with mortuary ritual, shamanic figures, and funerary ceremony across multiple independent sites is precisely the pattern predicted by the trinity model: the plant that served the dying elder becomes sacred, and its administration becomes the province of the specialist who tends the elder, the shaman. The shaman’s role is not mystical invention; it is the social expression of the group member who manages the elder’s pharmacological support during transition.</w:t>
      </w:r>
    </w:p>
    <w:p w14:paraId="20C6C2CA" w14:textId="77777777" w:rsidR="00303C34" w:rsidRDefault="006C3A6A" w:rsidP="00556297">
      <w:r>
        <w:t>Herodotus, writing in the fifth century BCE, described Scythian funerary practices involving cannabis vapor inhalation, an account subsequently corroborated by archaeological finds at Pazyryk (~2,400–2,500 years BP), where cannabis seeds, censers, and hempen clothing were recovered from burial mounds (Rudenko, 1970; Ren et al., 2019).</w:t>
      </w:r>
    </w:p>
    <w:p w14:paraId="042B95DB" w14:textId="77777777" w:rsidR="00303C34" w:rsidRDefault="006C3A6A">
      <w:pPr>
        <w:pStyle w:val="Heading2"/>
      </w:pPr>
      <w:bookmarkStart w:id="35" w:name="X9025d4c6dd405821fe5872210c4f8ba561fbbea"/>
      <w:bookmarkEnd w:id="34"/>
      <w:r>
        <w:t>7.2 The Pharmacological Argument for Cultivation Priority</w:t>
      </w:r>
    </w:p>
    <w:p w14:paraId="17209734" w14:textId="77777777" w:rsidR="00303C34" w:rsidRDefault="006C3A6A" w:rsidP="009B31C9">
      <w:r>
        <w:t xml:space="preserve">The eight Neolithic “founder crops” (emmer wheat, einkorn wheat, barley, lentils, peas, chickpeas, bitter vetch, and flax) were domesticated in the Fertile Crescent between approximately 10,500 and 7,500 years ago (Zohary and Hopf, 1988; Zohary et al., 2012). These are caloric and industrial crops. Cannabis, however, offers something no grain provides: direct modulation of the mammalian ECS. </w:t>
      </w:r>
      <w:r>
        <w:rPr>
          <w:i/>
          <w:iCs/>
        </w:rPr>
        <w:t>Cannabis sativa</w:t>
      </w:r>
      <w:r>
        <w:t xml:space="preserve"> is among the oldest cultivated plants in the world, with dried specimens from the Oki Islands of Japan dating to approximately 8000 BC (Crawford, 2006) and cultivation in East Asia from at least 4000 BC (Li, 1974; McPartland et al., 2019).</w:t>
      </w:r>
    </w:p>
    <w:p w14:paraId="5855528C" w14:textId="77777777" w:rsidR="00303C34" w:rsidRDefault="006C3A6A" w:rsidP="009B31C9">
      <w:r>
        <w:t>We propose that the motivation to cultivate a psychoactive plant may have preceded or paralleled the motivation to cultivate caloric crops. A group whose social cohesion depends on a plant, first for communal bonding, later for elder care during transition, has an immediate, non-deferrable need to secure its supply. Grain can be foraged; the medicine that holds the group together cannot be left to chance.</w:t>
      </w:r>
    </w:p>
    <w:p w14:paraId="5C4CA896" w14:textId="77777777" w:rsidR="00303C34" w:rsidRDefault="006C3A6A">
      <w:pPr>
        <w:pStyle w:val="Heading2"/>
      </w:pPr>
      <w:bookmarkStart w:id="36" w:name="X65d8329ff5917c6633fe0b5fda02bed7b33bf1d"/>
      <w:bookmarkEnd w:id="35"/>
      <w:r>
        <w:t>7.3 Endogenous Cannabinoids, Running, and the Rift Valley</w:t>
      </w:r>
    </w:p>
    <w:p w14:paraId="03EC79A2" w14:textId="77777777" w:rsidR="00303C34" w:rsidRDefault="006C3A6A" w:rsidP="00556297">
      <w:r>
        <w:t>Between transition phases, endogenous cannabinoids are elevated by sustained physical activity. The “runner’s high” is mediated by anandamide and 2-AG, not endorphins as previously assumed (Fuss et al., 2015). For hominids in the EARS environment, long-distance running (needed for persistence hunting, foraging range expansion, possibly communal communication, and predator avoidance) served as the primary endogenous ECS maintenance strategy.</w:t>
      </w:r>
    </w:p>
    <w:p w14:paraId="2202E7FD" w14:textId="62C15D61" w:rsidR="00303C34" w:rsidRDefault="006C3A6A" w:rsidP="00556297">
      <w:r>
        <w:lastRenderedPageBreak/>
        <w:t xml:space="preserve">This observation generates a testable prediction with contemporary resonance. The Kalenjin people of Kenya’s Rift Valley, the geographic heart of the EARS, adjacent to the Turkana Basin, produce a wildly disproportionate share of the world’s elite distance runners. Standard explanations invoke altitude training effects, lean body </w:t>
      </w:r>
      <w:proofErr w:type="gramStart"/>
      <w:r>
        <w:t>habitus</w:t>
      </w:r>
      <w:proofErr w:type="gramEnd"/>
      <w:r>
        <w:t xml:space="preserve">, and cultural emphasis on running. The Saline Oscillation Hypothesis adds a complementary explanation: these populations are the direct descendants of hominids for whom long-distance running was not merely athletic but </w:t>
      </w:r>
      <w:r>
        <w:rPr>
          <w:i/>
          <w:iCs/>
        </w:rPr>
        <w:t>pharmacological</w:t>
      </w:r>
      <w:r>
        <w:t xml:space="preserve"> and the primary mechanism for maintaining endogenous ECS tone in the environment where the </w:t>
      </w:r>
      <w:r w:rsidR="00DD6777">
        <w:t>coevolution</w:t>
      </w:r>
      <w:r>
        <w:t>ary program was deepest.</w:t>
      </w:r>
    </w:p>
    <w:p w14:paraId="648A87DC" w14:textId="77777777" w:rsidR="00303C34" w:rsidRDefault="00000000">
      <w:r>
        <w:pict w14:anchorId="5485BD00">
          <v:rect id="_x0000_i1340" style="width:0;height:1.5pt" o:hralign="center" o:hrstd="t" o:hr="t"/>
        </w:pict>
      </w:r>
    </w:p>
    <w:p w14:paraId="318AF08B" w14:textId="7C26AA4C" w:rsidR="00303C34" w:rsidRDefault="006C3A6A">
      <w:pPr>
        <w:pStyle w:val="Heading1"/>
      </w:pPr>
      <w:bookmarkStart w:id="37" w:name="X57a6f1bf99aafec2f4680d70c283991d323c331"/>
      <w:bookmarkEnd w:id="33"/>
      <w:bookmarkEnd w:id="36"/>
      <w:r>
        <w:t xml:space="preserve">8. The Cardiac Architecture Hypothesis: </w:t>
      </w:r>
      <w:r w:rsidR="00A93DCE">
        <w:t xml:space="preserve">Developmental Preservation and the </w:t>
      </w:r>
      <w:r>
        <w:t>Breaking the Trinity</w:t>
      </w:r>
    </w:p>
    <w:p w14:paraId="3A3AD45F" w14:textId="39075204" w:rsidR="00303C34" w:rsidRPr="00A93DCE" w:rsidRDefault="006C3A6A">
      <w:pPr>
        <w:pStyle w:val="Heading2"/>
        <w:rPr>
          <w:b w:val="0"/>
          <w:bCs w:val="0"/>
        </w:rPr>
      </w:pPr>
      <w:bookmarkStart w:id="38" w:name="X33d411acf2b48e7447910fe8007335ec5758876"/>
      <w:r>
        <w:t xml:space="preserve">8.1 </w:t>
      </w:r>
      <w:r w:rsidR="00A93DCE">
        <w:t>The Mammalian Default: Suction Dominant Circulation at Birth</w:t>
      </w:r>
    </w:p>
    <w:p w14:paraId="0E637D8C" w14:textId="08F549DE" w:rsidR="00A93DCE" w:rsidRPr="00A93DCE" w:rsidRDefault="00A93DCE" w:rsidP="009B31C9">
      <w:bookmarkStart w:id="39" w:name="consequences"/>
      <w:bookmarkEnd w:id="38"/>
      <w:r w:rsidRPr="00A93DCE">
        <w:t xml:space="preserve">The mechanistic sequence described in Section 4 operates on standard mammalian cardiac hardware. No novel anatomy is required to initiate or sustain the program. What distinguishes Homo candidus is the symbiont's management of the existing cardiovascular architecture through ECS signaling. The question that has persisted throughout this framework — when and how did the cardiac architecture </w:t>
      </w:r>
      <w:proofErr w:type="gramStart"/>
      <w:r w:rsidRPr="00A93DCE">
        <w:t>shift</w:t>
      </w:r>
      <w:r w:rsidR="00296041">
        <w:t>s</w:t>
      </w:r>
      <w:proofErr w:type="gramEnd"/>
      <w:r w:rsidRPr="00A93DCE">
        <w:t xml:space="preserve"> from suction-dominant to pump-dominant — may be resolved by a developmental observation rather than an evolutionary one: every mammal is born with a suction-dominant heart.</w:t>
      </w:r>
    </w:p>
    <w:p w14:paraId="7739FF4D" w14:textId="0591D5C1" w:rsidR="00A93DCE" w:rsidRPr="00A93DCE" w:rsidRDefault="00A93DCE" w:rsidP="009B31C9">
      <w:r w:rsidRPr="00A93DCE">
        <w:t xml:space="preserve"> Neonatal cardiac physiology is fundamentally different from adult cardiac physiology. The fetal and neonatal heart operates with open foramen </w:t>
      </w:r>
      <w:proofErr w:type="spellStart"/>
      <w:r w:rsidRPr="00A93DCE">
        <w:t>ovale</w:t>
      </w:r>
      <w:proofErr w:type="spellEnd"/>
      <w:r w:rsidRPr="00A93DCE">
        <w:t>, patent ductus arteriosus, and diastolic mechanics in which the suction contribution to ventricular filling is proportionally greater than in the mature adult heart. The transition from fetal to adult circulatory dynamics</w:t>
      </w:r>
      <w:r w:rsidR="00296041">
        <w:t>, involving</w:t>
      </w:r>
      <w:r w:rsidRPr="00A93DCE">
        <w:t xml:space="preserve"> closure of the foramen </w:t>
      </w:r>
      <w:proofErr w:type="spellStart"/>
      <w:r w:rsidRPr="00A93DCE">
        <w:t>ovale</w:t>
      </w:r>
      <w:proofErr w:type="spellEnd"/>
      <w:r w:rsidRPr="00A93DCE">
        <w:t xml:space="preserve">, involution of the ductus arteriosus, </w:t>
      </w:r>
      <w:r w:rsidR="00296041">
        <w:t xml:space="preserve">and </w:t>
      </w:r>
      <w:r w:rsidRPr="00A93DCE">
        <w:t>progressive shift toward systolic ejection as the dominant filling mechanism</w:t>
      </w:r>
      <w:r w:rsidR="00296041">
        <w:t xml:space="preserve">, </w:t>
      </w:r>
      <w:r w:rsidRPr="00A93DCE">
        <w:t>is a normal developmental process that occurs over the weeks and months following birth, with cardiac remodeling continuing throughout postnatal maturation.</w:t>
      </w:r>
    </w:p>
    <w:p w14:paraId="44F5984D" w14:textId="6F3E631E" w:rsidR="00A93DCE" w:rsidRPr="00A93DCE" w:rsidRDefault="00A93DCE" w:rsidP="009B31C9">
      <w:r w:rsidRPr="00A93DCE">
        <w:t> The pump-dominant adult heart is therefore not a mutation. It is the developmental endpoint. The suction-dominant neonatal heart is the starting condition. The question is not "when did a genetic shift produce the pump-dominant heart?" The question is "what, in the ancestral context, prevented the normal developmental transition from completing?"</w:t>
      </w:r>
    </w:p>
    <w:p w14:paraId="6F507189" w14:textId="4C76E06F" w:rsidR="00A93DCE" w:rsidRPr="00A93DCE" w:rsidRDefault="00A93DCE" w:rsidP="009B31C9">
      <w:r w:rsidRPr="00A93DCE">
        <w:t xml:space="preserve"> The same principle applies to </w:t>
      </w:r>
      <w:proofErr w:type="gramStart"/>
      <w:r w:rsidRPr="00A93DCE">
        <w:t>the pituitary</w:t>
      </w:r>
      <w:proofErr w:type="gramEnd"/>
      <w:r w:rsidRPr="00A93DCE">
        <w:t>. The neonatal pituitary operates at high activity by default</w:t>
      </w:r>
      <w:r w:rsidR="00296041">
        <w:t>. I</w:t>
      </w:r>
      <w:r w:rsidRPr="00A93DCE">
        <w:t xml:space="preserve">t </w:t>
      </w:r>
      <w:r w:rsidR="00296041">
        <w:t>manages</w:t>
      </w:r>
      <w:r w:rsidRPr="00A93DCE">
        <w:t xml:space="preserve"> explosive growth, organogenesis, neurological development, and the establishment of endocrine axes that will govern the organism for its entire lifespan. The "overclocked" pituitary described in the </w:t>
      </w:r>
      <w:r w:rsidR="00DD6777">
        <w:t>coevolution</w:t>
      </w:r>
      <w:r w:rsidRPr="00A93DCE">
        <w:t xml:space="preserve">ary framework is not an upgrade installed by the symbiont. It is the factory setting. Every infant has one. The developmental program progressively reduces pituitary output as growth decelerates and the endocrine system matures. In the adult, the pituitary operates at a fraction of its neonatal capacity </w:t>
      </w:r>
      <w:r w:rsidR="00296041">
        <w:t xml:space="preserve">at more of a maintenance level, The adult capacity is </w:t>
      </w:r>
      <w:r w:rsidRPr="00A93DCE">
        <w:t xml:space="preserve">sufficient for maintenance, </w:t>
      </w:r>
      <w:r w:rsidR="00296041">
        <w:t xml:space="preserve">but </w:t>
      </w:r>
      <w:r w:rsidRPr="00A93DCE">
        <w:t>insufficient for the demands of the symbiont's full program.</w:t>
      </w:r>
    </w:p>
    <w:p w14:paraId="0581EE5A" w14:textId="568CB822" w:rsidR="00A93DCE" w:rsidRPr="00A93DCE" w:rsidRDefault="00A93DCE" w:rsidP="00A93DCE">
      <w:pPr>
        <w:pStyle w:val="Heading2"/>
      </w:pPr>
      <w:r w:rsidRPr="00A93DCE">
        <w:lastRenderedPageBreak/>
        <w:t> 8.2 The Preservation Mechanism: Why the Ancestral Transition Did Not Complete</w:t>
      </w:r>
    </w:p>
    <w:p w14:paraId="2ABB1D46" w14:textId="6F80CA30" w:rsidR="00A93DCE" w:rsidRPr="00A93DCE" w:rsidRDefault="00A93DCE" w:rsidP="00A93DCE">
      <w:r w:rsidRPr="00A93DCE">
        <w:t> We propose that in the ancestral Rift Valley context, the symbiont's role was not to build a suction-dominant heart or to overclock the pituitary. It was to prevent the normal developmental transition that would wind both systems down. The organism preserved the neonatal configuration into adulthood by maintaining ECS-mediated signaling on cardiac conduction and pituitary perfusion during the critical developmental window when the transition would otherwise occur.</w:t>
      </w:r>
    </w:p>
    <w:p w14:paraId="3E3BC3D3" w14:textId="71B6B88B" w:rsidR="00A93DCE" w:rsidRPr="00A93DCE" w:rsidRDefault="00A93DCE" w:rsidP="00A93DCE">
      <w:r w:rsidRPr="00A93DCE">
        <w:t xml:space="preserve"> The molecular plausibility of this preservation mechanism is supported by the finding that farnesol, the primary </w:t>
      </w:r>
      <w:r w:rsidRPr="00810600">
        <w:rPr>
          <w:i/>
          <w:iCs/>
        </w:rPr>
        <w:t>C. albicans</w:t>
      </w:r>
      <w:r w:rsidRPr="00A93DCE">
        <w:t xml:space="preserve"> effector molecule, is a confirmed inhibitor of N-type voltage-gated Ca²⁺ channels in mammalian cells (Roullet et al., 1999) and is present in the human brain at measurable concentrations. Calcium channel activity is fundamental to cardiac conduction and to the developmental remodeling of cardiac electrophysiology. An organism whose primary signaling molecule modulates the ion channels governing cardiac rhythm has the molecular tools to influence whether and when the postnatal cardiac transition completes. CB1 receptors, expressed on cardiac tissue, provide an additional direct pathway through which ECS-mediated signaling could maintain the diastolic suction contribution that the normal developmental program would reduce.</w:t>
      </w:r>
    </w:p>
    <w:p w14:paraId="0C706CA8" w14:textId="7F490464" w:rsidR="00A93DCE" w:rsidRPr="00A93DCE" w:rsidRDefault="00A93DCE" w:rsidP="00A93DCE">
      <w:r w:rsidRPr="00A93DCE">
        <w:t> Pituitary preservation operates through the perfusion governance described in Section 4.3 and the ECS-mediated pituitary signaling described in Section 5.7. CB1 receptors on pituitary cells modulate hormone secretion across all axes (Pagotto et al., 2006). An organism managing pituitary perfusion and signaling from birth</w:t>
      </w:r>
      <w:r w:rsidR="00296041">
        <w:t xml:space="preserve"> </w:t>
      </w:r>
      <w:r w:rsidRPr="00A93DCE">
        <w:t>arriv</w:t>
      </w:r>
      <w:r w:rsidR="00296041">
        <w:t>es</w:t>
      </w:r>
      <w:r w:rsidRPr="00A93DCE">
        <w:t xml:space="preserve"> through breastfeeding into a system where the ECS boot sequence (CB1-mediated suckling reflex) is already </w:t>
      </w:r>
      <w:proofErr w:type="gramStart"/>
      <w:r w:rsidRPr="00A93DCE">
        <w:t>active</w:t>
      </w:r>
      <w:r w:rsidR="00296041">
        <w:t>, and</w:t>
      </w:r>
      <w:proofErr w:type="gramEnd"/>
      <w:r w:rsidR="00296041">
        <w:t xml:space="preserve"> </w:t>
      </w:r>
      <w:r w:rsidRPr="00A93DCE">
        <w:t xml:space="preserve">has continuous access to the gland during the developmental window when its activity would normally decline. </w:t>
      </w:r>
      <w:proofErr w:type="gramStart"/>
      <w:r w:rsidRPr="00A93DCE">
        <w:t>The preservation</w:t>
      </w:r>
      <w:proofErr w:type="gramEnd"/>
      <w:r w:rsidRPr="00A93DCE">
        <w:t xml:space="preserve"> is not a single intervention. It is continuous management, from neonatal colonization through postnatal development, maintaining the high-activity pituitary state by preventing the downregulation the developmental program would otherwise execute.</w:t>
      </w:r>
    </w:p>
    <w:p w14:paraId="6FF82F53" w14:textId="6FB03BA4" w:rsidR="00A93DCE" w:rsidRPr="00A93DCE" w:rsidRDefault="00A93DCE" w:rsidP="00A93DCE">
      <w:r w:rsidRPr="00A93DCE">
        <w:t xml:space="preserve">The developmental preservation model requires only documented neonatal cardiac physiology, documented postnatal cardiac remodeling, and the documented molecular tools the symbiont possesses to influence both. The transition is not a mystery. It is the default. The mystery was always why it didn't happen in the ancestral </w:t>
      </w:r>
      <w:proofErr w:type="gramStart"/>
      <w:r w:rsidRPr="00A93DCE">
        <w:t>population</w:t>
      </w:r>
      <w:proofErr w:type="gramEnd"/>
      <w:r w:rsidR="00296041">
        <w:t xml:space="preserve"> </w:t>
      </w:r>
      <w:r w:rsidRPr="00A93DCE">
        <w:t>and the answer is that the symbiont prevented it.</w:t>
      </w:r>
    </w:p>
    <w:p w14:paraId="6FC18937" w14:textId="4ACEC132" w:rsidR="00A93DCE" w:rsidRPr="00A93DCE" w:rsidRDefault="00A93DCE" w:rsidP="00A93DCE">
      <w:pPr>
        <w:pStyle w:val="Heading2"/>
      </w:pPr>
      <w:r w:rsidRPr="00A93DCE">
        <w:t> 8.3 The Three-Key Activation Model: Why Modern Infants Do Not Preserve</w:t>
      </w:r>
    </w:p>
    <w:p w14:paraId="71389278" w14:textId="0E9F077E" w:rsidR="00A93DCE" w:rsidRPr="00A93DCE" w:rsidRDefault="00A93DCE" w:rsidP="00A93DCE">
      <w:r w:rsidRPr="00A93DCE">
        <w:t> If every mammal is born with the suction-dominant heart and the active pituitary, and if the symbiont arrives through breastfeeding in nearly all humans, the question becomes: why does the developmental preservation not occur in modern infants?</w:t>
      </w:r>
    </w:p>
    <w:p w14:paraId="48DD1C25" w14:textId="77777777" w:rsidR="00267B14" w:rsidRDefault="00A93DCE" w:rsidP="00A93DCE">
      <w:r w:rsidRPr="00A93DCE">
        <w:t xml:space="preserve"> The answer lies in the activation requirements for the preservation program. The symbiont's arrival is necessary but not sufficient. The program that prevents the developmental transition requires environmental conditions that are no longer present. </w:t>
      </w:r>
    </w:p>
    <w:p w14:paraId="26E0297A" w14:textId="3EAB3355" w:rsidR="00A93DCE" w:rsidRPr="00A93DCE" w:rsidRDefault="00A93DCE" w:rsidP="00A93DCE">
      <w:r w:rsidRPr="00A93DCE">
        <w:t>We propose a three-key activation model:</w:t>
      </w:r>
    </w:p>
    <w:p w14:paraId="2E12B452" w14:textId="40DD729F" w:rsidR="00A93DCE" w:rsidRPr="00A93DCE" w:rsidRDefault="00A93DCE" w:rsidP="00A93DCE">
      <w:r w:rsidRPr="00A93DCE">
        <w:t xml:space="preserve"> The first key is the symbiont's presence during the critical developmental window. </w:t>
      </w:r>
      <w:r w:rsidRPr="00810600">
        <w:rPr>
          <w:i/>
          <w:iCs/>
        </w:rPr>
        <w:t>C. albicans</w:t>
      </w:r>
      <w:r w:rsidRPr="00A93DCE">
        <w:t xml:space="preserve"> is transmitted vertically from mother to child through birth canal transit and breastfeeding (Kumamoto, 2011; Ost and Round, 2023). The CB1-mediated suckling reflex, the first mammalian survival behavior, is the ECS boot sequence through which the symbiont arrives </w:t>
      </w:r>
      <w:r w:rsidRPr="00A93DCE">
        <w:lastRenderedPageBreak/>
        <w:t>and initial colonization is established. This key is present in virtually all modern infants. The organism arrives. Colonization begins.</w:t>
      </w:r>
    </w:p>
    <w:p w14:paraId="738B0580" w14:textId="7F8A0D92" w:rsidR="00A93DCE" w:rsidRPr="00A93DCE" w:rsidRDefault="00A93DCE" w:rsidP="00A93DCE">
      <w:r w:rsidRPr="00A93DCE">
        <w:t> The second key is colonization density sufficient to produce meaningful signaling output during the developmental window. This is variable</w:t>
      </w:r>
      <w:r w:rsidR="00296041">
        <w:t xml:space="preserve">. The output is </w:t>
      </w:r>
      <w:r w:rsidRPr="00A93DCE">
        <w:t xml:space="preserve">dependent on maternal colonization depth, breastfeeding duration, early immune development, and the infant's own microbiome ecology. Some infants </w:t>
      </w:r>
      <w:r w:rsidR="00267B14">
        <w:t xml:space="preserve">may </w:t>
      </w:r>
      <w:r w:rsidRPr="00A93DCE">
        <w:t>achieve deep colonization rapidly. Others do not. In the ancestral context, where antibiotic exposure did not exist, mucosal barrier disruption from processed foods did not occur, and breastfeeding duration was extended, deeper and earlier colonization would have been the norm. This key was more consistently present in the ancestral population than in the modern one, but it is not categorically absent today.</w:t>
      </w:r>
    </w:p>
    <w:p w14:paraId="4EA34AC8" w14:textId="06737801" w:rsidR="00A93DCE" w:rsidRPr="00A93DCE" w:rsidRDefault="00A93DCE" w:rsidP="00A93DCE">
      <w:r w:rsidRPr="00A93DCE">
        <w:t> The third key is the electrolyte environment. The saline oscillation</w:t>
      </w:r>
      <w:r w:rsidR="00296041">
        <w:t>,</w:t>
      </w:r>
      <w:r w:rsidRPr="00A93DCE">
        <w:t xml:space="preserve"> cyclical exposure to elevated and depleted electrolyte concentrations that constitutes the central mechanism of this paper</w:t>
      </w:r>
      <w:r w:rsidR="00296041">
        <w:t xml:space="preserve">, </w:t>
      </w:r>
      <w:r w:rsidRPr="00A93DCE">
        <w:t>provided the environmental activation signal. The SIADH-type electrolyte disruption during freshwater transitions following saline acclimation created the physiological conditions under which the symbiont's perfusion management program gained decisive selective advantage. Without this electrolyte signal, the symbiont colonizes commensally, feeds on dietary glucose, performs its baseline maintenance functions, but the preservation program that would prevent the cardiac and pituitary developmental transition does not activate. The program requires the environmental context it was selected within.</w:t>
      </w:r>
    </w:p>
    <w:p w14:paraId="57CDD101" w14:textId="65684A45" w:rsidR="00A93DCE" w:rsidRPr="00A93DCE" w:rsidRDefault="00A93DCE" w:rsidP="00A93DCE">
      <w:r w:rsidRPr="00A93DCE">
        <w:t> Modern infants have the first key universally. Some have the second key to varying degrees. None have the third key. The developmental transition proceeds on schedule because the environmental trigger that would activate the preservation program does not exist in a world of stable, treated drinking water with consistent electrolyte content.</w:t>
      </w:r>
    </w:p>
    <w:p w14:paraId="52033C58" w14:textId="3226560F" w:rsidR="00475E5E" w:rsidRDefault="00A93DCE" w:rsidP="00475E5E">
      <w:r w:rsidRPr="00A93DCE">
        <w:t xml:space="preserve"> In the ancestral East African Rift Valley, all three keys were present simultaneously. The symbiont arrived through breastfeeding from a mother whose own electrolyte status reflected the saline-oscillating water sources. The infant's developing system was exposed to electrolyte variations from birth through breast milk composition, through early introduction of local water sources, and through the same environmental pressures acting on the entire social group. Colonization established during the critical window. The electrolyte signal was continuous. The preservation program </w:t>
      </w:r>
      <w:proofErr w:type="gramStart"/>
      <w:r w:rsidRPr="00A93DCE">
        <w:t>activated</w:t>
      </w:r>
      <w:proofErr w:type="gramEnd"/>
      <w:r w:rsidRPr="00A93DCE">
        <w:t>, and the suction-dominant heart and high-activity pituitary were maintained into adulthood. The organism did not build Homo candidus. It prevented the developmental transition that would have produced an ordinary adult.</w:t>
      </w:r>
    </w:p>
    <w:p w14:paraId="699B3AA0" w14:textId="3819ADA4" w:rsidR="00475E5E" w:rsidRDefault="00475E5E" w:rsidP="00475E5E">
      <w:r w:rsidRPr="00475E5E">
        <w:rPr>
          <w:rFonts w:asciiTheme="minorHAnsi" w:hAnsiTheme="minorHAnsi"/>
        </w:rPr>
        <w:t xml:space="preserve">This model also explains the evolutionary trajectory of the phenotype across time and geography. In the earliest stages of the </w:t>
      </w:r>
      <w:r w:rsidR="00DD6777">
        <w:rPr>
          <w:rFonts w:asciiTheme="minorHAnsi" w:hAnsiTheme="minorHAnsi"/>
        </w:rPr>
        <w:t>coevolution</w:t>
      </w:r>
      <w:r w:rsidRPr="00475E5E">
        <w:rPr>
          <w:rFonts w:asciiTheme="minorHAnsi" w:hAnsiTheme="minorHAnsi"/>
        </w:rPr>
        <w:t>ary relationship, preservation of the neonatal cardiac and pituitary architecture carried no disadvantage. An infant whose suction heart and active pituitary were maintained into adulthood would exhibit superior perfusion, superior endurance, enhanced crisis tolerance, and better cognitive performance</w:t>
      </w:r>
      <w:r w:rsidR="00296041">
        <w:rPr>
          <w:rFonts w:asciiTheme="minorHAnsi" w:hAnsiTheme="minorHAnsi"/>
        </w:rPr>
        <w:t xml:space="preserve"> </w:t>
      </w:r>
      <w:r w:rsidRPr="00475E5E">
        <w:rPr>
          <w:rFonts w:asciiTheme="minorHAnsi" w:hAnsiTheme="minorHAnsi"/>
        </w:rPr>
        <w:t xml:space="preserve">with no transitional decline phases, because the program had not yet evolved the complex multi-phase sequence documented in the redacted source article and the longitudinal case study. That sequence is the product of </w:t>
      </w:r>
      <w:r w:rsidR="00835E98">
        <w:rPr>
          <w:rFonts w:asciiTheme="minorHAnsi" w:hAnsiTheme="minorHAnsi"/>
          <w:i/>
          <w:iCs/>
        </w:rPr>
        <w:t>hundreds of thousands</w:t>
      </w:r>
      <w:r w:rsidRPr="00475E5E">
        <w:rPr>
          <w:rFonts w:asciiTheme="minorHAnsi" w:hAnsiTheme="minorHAnsi"/>
        </w:rPr>
        <w:t xml:space="preserve"> of years of oscillation-driven refinement. The early program was simpler: basic perfusion management and electrolyte handling, the core functions the saline oscillation selected for. Preserved individuals in this early period dominated selection. They were better at everything.</w:t>
      </w:r>
    </w:p>
    <w:p w14:paraId="145381B0" w14:textId="56B86291" w:rsidR="00475E5E" w:rsidRDefault="00475E5E" w:rsidP="00475E5E">
      <w:r w:rsidRPr="00475E5E">
        <w:rPr>
          <w:rFonts w:asciiTheme="minorHAnsi" w:hAnsiTheme="minorHAnsi"/>
        </w:rPr>
        <w:t>In a Rift Valley population where all three keys were consistently presen</w:t>
      </w:r>
      <w:r w:rsidR="00835E98">
        <w:rPr>
          <w:rFonts w:asciiTheme="minorHAnsi" w:hAnsiTheme="minorHAnsi"/>
        </w:rPr>
        <w:t>t: 1)</w:t>
      </w:r>
      <w:r w:rsidRPr="00475E5E">
        <w:rPr>
          <w:rFonts w:asciiTheme="minorHAnsi" w:hAnsiTheme="minorHAnsi"/>
        </w:rPr>
        <w:t xml:space="preserve"> universal symbiont transmission through breastfeeding</w:t>
      </w:r>
      <w:r w:rsidR="00835E98">
        <w:rPr>
          <w:rFonts w:asciiTheme="minorHAnsi" w:hAnsiTheme="minorHAnsi"/>
        </w:rPr>
        <w:t xml:space="preserve"> with </w:t>
      </w:r>
      <w:r w:rsidRPr="00475E5E">
        <w:rPr>
          <w:rFonts w:asciiTheme="minorHAnsi" w:hAnsiTheme="minorHAnsi"/>
        </w:rPr>
        <w:t>deep colonization supported by extended nursing</w:t>
      </w:r>
      <w:r w:rsidR="00835E98">
        <w:rPr>
          <w:rFonts w:asciiTheme="minorHAnsi" w:hAnsiTheme="minorHAnsi"/>
        </w:rPr>
        <w:t xml:space="preserve">, 2) </w:t>
      </w:r>
      <w:r w:rsidRPr="00475E5E">
        <w:rPr>
          <w:rFonts w:asciiTheme="minorHAnsi" w:hAnsiTheme="minorHAnsi"/>
        </w:rPr>
        <w:t>the absence of antibiotics, and</w:t>
      </w:r>
      <w:r w:rsidR="00835E98">
        <w:rPr>
          <w:rFonts w:asciiTheme="minorHAnsi" w:hAnsiTheme="minorHAnsi"/>
        </w:rPr>
        <w:t xml:space="preserve"> 3)</w:t>
      </w:r>
      <w:r w:rsidRPr="00475E5E">
        <w:rPr>
          <w:rFonts w:asciiTheme="minorHAnsi" w:hAnsiTheme="minorHAnsi"/>
        </w:rPr>
        <w:t xml:space="preserve"> continuous electrolyte oscillation </w:t>
      </w:r>
      <w:r w:rsidRPr="00475E5E">
        <w:rPr>
          <w:rFonts w:asciiTheme="minorHAnsi" w:hAnsiTheme="minorHAnsi"/>
        </w:rPr>
        <w:lastRenderedPageBreak/>
        <w:t>from the lake systems</w:t>
      </w:r>
      <w:r w:rsidR="00835E98">
        <w:rPr>
          <w:rFonts w:asciiTheme="minorHAnsi" w:hAnsiTheme="minorHAnsi"/>
        </w:rPr>
        <w:t xml:space="preserve">, </w:t>
      </w:r>
      <w:r w:rsidRPr="00475E5E">
        <w:rPr>
          <w:rFonts w:asciiTheme="minorHAnsi" w:hAnsiTheme="minorHAnsi"/>
        </w:rPr>
        <w:t>preservation would have trended toward universality. Selection pressure ran hard in one direction: preserve the heart, maintain the pituitary, outperform everyone who doesn't.</w:t>
      </w:r>
    </w:p>
    <w:p w14:paraId="7CCC81C3" w14:textId="1D4B281B" w:rsidR="00475E5E" w:rsidRDefault="00475E5E" w:rsidP="00475E5E">
      <w:r w:rsidRPr="00475E5E">
        <w:rPr>
          <w:rFonts w:asciiTheme="minorHAnsi" w:hAnsiTheme="minorHAnsi"/>
        </w:rPr>
        <w:t xml:space="preserve">As the oscillation cycles ratcheted the </w:t>
      </w:r>
      <w:r w:rsidR="00DD6777">
        <w:rPr>
          <w:rFonts w:asciiTheme="minorHAnsi" w:hAnsiTheme="minorHAnsi"/>
        </w:rPr>
        <w:t>coevolution</w:t>
      </w:r>
      <w:r w:rsidRPr="00475E5E">
        <w:rPr>
          <w:rFonts w:asciiTheme="minorHAnsi" w:hAnsiTheme="minorHAnsi"/>
        </w:rPr>
        <w:t>ary relationship deeper over millions of years (Section 4.1), the program became more sophisticated. More phases emerged. More organ systems became involved. More metabolic transitions developed. Eventually, the decline phases appeared</w:t>
      </w:r>
      <w:r w:rsidR="00835E98">
        <w:rPr>
          <w:rFonts w:asciiTheme="minorHAnsi" w:hAnsiTheme="minorHAnsi"/>
        </w:rPr>
        <w:t xml:space="preserve">.  These are </w:t>
      </w:r>
      <w:r w:rsidRPr="00475E5E">
        <w:rPr>
          <w:rFonts w:asciiTheme="minorHAnsi" w:hAnsiTheme="minorHAnsi"/>
        </w:rPr>
        <w:t xml:space="preserve">the transitional vulnerability periods documented in the redacted source article and in the longitudinal case study (Craddock, </w:t>
      </w:r>
      <w:r w:rsidR="009B06E6">
        <w:rPr>
          <w:rFonts w:asciiTheme="minorHAnsi" w:hAnsiTheme="minorHAnsi"/>
        </w:rPr>
        <w:t>2026c)</w:t>
      </w:r>
      <w:r w:rsidRPr="00475E5E">
        <w:rPr>
          <w:rFonts w:asciiTheme="minorHAnsi" w:hAnsiTheme="minorHAnsi"/>
        </w:rPr>
        <w:t>. Only at this stage did the evolutionary trade-off described in Section 4.3 materialize: enhanced capability between transitions, increased vulnerability during them. Only now did the social support structure become necessary to protect the individual during difficult phases. Only now did the trinity's third leg</w:t>
      </w:r>
      <w:r w:rsidR="00835E98">
        <w:rPr>
          <w:rFonts w:asciiTheme="minorHAnsi" w:hAnsiTheme="minorHAnsi"/>
        </w:rPr>
        <w:t xml:space="preserve">, that of </w:t>
      </w:r>
      <w:r w:rsidRPr="00475E5E">
        <w:rPr>
          <w:rFonts w:asciiTheme="minorHAnsi" w:hAnsiTheme="minorHAnsi"/>
        </w:rPr>
        <w:t>cooperative social structure, reinforced by the cannabinoid flywheel described in Section 3</w:t>
      </w:r>
      <w:r w:rsidR="00835E98">
        <w:rPr>
          <w:rFonts w:asciiTheme="minorHAnsi" w:hAnsiTheme="minorHAnsi"/>
        </w:rPr>
        <w:t xml:space="preserve">, </w:t>
      </w:r>
      <w:r w:rsidRPr="00475E5E">
        <w:rPr>
          <w:rFonts w:asciiTheme="minorHAnsi" w:hAnsiTheme="minorHAnsi"/>
        </w:rPr>
        <w:t xml:space="preserve">gain its full adaptive value. The trinity did not form because the program was dangerous from the start. It </w:t>
      </w:r>
      <w:proofErr w:type="gramStart"/>
      <w:r w:rsidRPr="00475E5E">
        <w:rPr>
          <w:rFonts w:asciiTheme="minorHAnsi" w:hAnsiTheme="minorHAnsi"/>
        </w:rPr>
        <w:t>formed</w:t>
      </w:r>
      <w:proofErr w:type="gramEnd"/>
      <w:r w:rsidRPr="00475E5E">
        <w:rPr>
          <w:rFonts w:asciiTheme="minorHAnsi" w:hAnsiTheme="minorHAnsi"/>
        </w:rPr>
        <w:t xml:space="preserve"> because the program deepened until it required social support to sustain.</w:t>
      </w:r>
    </w:p>
    <w:p w14:paraId="3C801154" w14:textId="6ED24A92" w:rsidR="00475E5E" w:rsidRDefault="00475E5E" w:rsidP="00475E5E">
      <w:r w:rsidRPr="00475E5E">
        <w:rPr>
          <w:rFonts w:asciiTheme="minorHAnsi" w:hAnsiTheme="minorHAnsi"/>
        </w:rPr>
        <w:t xml:space="preserve">The spectrum of preservation outcomes </w:t>
      </w:r>
      <w:r w:rsidR="00835E98">
        <w:rPr>
          <w:rFonts w:asciiTheme="minorHAnsi" w:hAnsiTheme="minorHAnsi"/>
        </w:rPr>
        <w:t>with</w:t>
      </w:r>
      <w:r w:rsidRPr="00475E5E">
        <w:rPr>
          <w:rFonts w:asciiTheme="minorHAnsi" w:hAnsiTheme="minorHAnsi"/>
        </w:rPr>
        <w:t xml:space="preserve"> some individuals fully preserved, some partially, some not at all</w:t>
      </w:r>
      <w:r w:rsidR="00835E98">
        <w:rPr>
          <w:rFonts w:asciiTheme="minorHAnsi" w:hAnsiTheme="minorHAnsi"/>
        </w:rPr>
        <w:t xml:space="preserve"> </w:t>
      </w:r>
      <w:r w:rsidRPr="00475E5E">
        <w:rPr>
          <w:rFonts w:asciiTheme="minorHAnsi" w:hAnsiTheme="minorHAnsi"/>
        </w:rPr>
        <w:t xml:space="preserve">emerged late in the </w:t>
      </w:r>
      <w:r w:rsidR="00DD6777">
        <w:rPr>
          <w:rFonts w:asciiTheme="minorHAnsi" w:hAnsiTheme="minorHAnsi"/>
        </w:rPr>
        <w:t>coevolution</w:t>
      </w:r>
      <w:r w:rsidRPr="00475E5E">
        <w:rPr>
          <w:rFonts w:asciiTheme="minorHAnsi" w:hAnsiTheme="minorHAnsi"/>
        </w:rPr>
        <w:t>ary timeline, driven by two factors. First, as the program deepened, the metabolic and physiological demands of the preservation sequence increased, raising the threshold of colonization density and electrolyte exposure required for full activation. Second, and more significantly, the first dispersal out of Africa (~1.5 Ma) carried the population into environments where the third key</w:t>
      </w:r>
      <w:r w:rsidR="00835E98">
        <w:rPr>
          <w:rFonts w:asciiTheme="minorHAnsi" w:hAnsiTheme="minorHAnsi"/>
        </w:rPr>
        <w:t>,</w:t>
      </w:r>
      <w:r w:rsidRPr="00475E5E">
        <w:rPr>
          <w:rFonts w:asciiTheme="minorHAnsi" w:hAnsiTheme="minorHAnsi"/>
        </w:rPr>
        <w:t xml:space="preserve"> the saline oscillation</w:t>
      </w:r>
      <w:r w:rsidR="00835E98">
        <w:rPr>
          <w:rFonts w:asciiTheme="minorHAnsi" w:hAnsiTheme="minorHAnsi"/>
        </w:rPr>
        <w:t xml:space="preserve">, </w:t>
      </w:r>
      <w:r w:rsidRPr="00475E5E">
        <w:rPr>
          <w:rFonts w:asciiTheme="minorHAnsi" w:hAnsiTheme="minorHAnsi"/>
        </w:rPr>
        <w:t>was weaker or absent. The further from the Rift Valley, the less consistent the electrolyte signal, the less reliable the preservation. Populations at the geographic margins of the dispersal experienced partial or inconsistent activation. The developmental transition began completing in some individuals. Pump-dominant adults appeared — not through mutation but through the absence of the environmental signal that had prevented the transition in the ancestral core zone.</w:t>
      </w:r>
      <w:r w:rsidR="00A93DCE" w:rsidRPr="00A93DCE">
        <w:t> </w:t>
      </w:r>
    </w:p>
    <w:p w14:paraId="5E1A0C36" w14:textId="76086E65" w:rsidR="00A93DCE" w:rsidRPr="00A93DCE" w:rsidRDefault="00A93DCE" w:rsidP="00475E5E">
      <w:pPr>
        <w:pStyle w:val="Heading2"/>
      </w:pPr>
      <w:r w:rsidRPr="00A93DCE">
        <w:t>8.4 Hypophyseal Failure: The Endpoint of Unresolved Preservation</w:t>
      </w:r>
    </w:p>
    <w:p w14:paraId="1EEEF1C1" w14:textId="1ED53842" w:rsidR="00A93DCE" w:rsidRPr="00A93DCE" w:rsidRDefault="00A93DCE" w:rsidP="00A93DCE">
      <w:r w:rsidRPr="00A93DCE">
        <w:t> In the ancestral context where all three keys were present, the preserved pituitary operated within a system designed to support it</w:t>
      </w:r>
      <w:r w:rsidR="00835E98">
        <w:t>. T</w:t>
      </w:r>
      <w:r w:rsidRPr="00A93DCE">
        <w:t>he saline oscillation provid</w:t>
      </w:r>
      <w:r w:rsidR="00835E98">
        <w:t>ed</w:t>
      </w:r>
      <w:r w:rsidRPr="00A93DCE">
        <w:t xml:space="preserve"> continuous electrolyte substrate, the social structure </w:t>
      </w:r>
      <w:r w:rsidR="00835E98">
        <w:t>supplied</w:t>
      </w:r>
      <w:r w:rsidRPr="00A93DCE">
        <w:t xml:space="preserve"> dietary and pharmacological support, </w:t>
      </w:r>
      <w:r w:rsidR="00835E98">
        <w:t xml:space="preserve">and </w:t>
      </w:r>
      <w:r w:rsidRPr="00A93DCE">
        <w:t>the program proceed</w:t>
      </w:r>
      <w:r w:rsidR="00835E98">
        <w:t>ed</w:t>
      </w:r>
      <w:r w:rsidRPr="00A93DCE">
        <w:t xml:space="preserve"> through its phases toward completion. The </w:t>
      </w:r>
      <w:proofErr w:type="gramStart"/>
      <w:r w:rsidRPr="00A93DCE">
        <w:t>pituitary</w:t>
      </w:r>
      <w:proofErr w:type="gramEnd"/>
      <w:r w:rsidRPr="00A93DCE">
        <w:t xml:space="preserve"> ran at elevated capacity because the program demanded it, and the program's completion allowed the system to reach its intended endpoint.</w:t>
      </w:r>
    </w:p>
    <w:p w14:paraId="2C07991E" w14:textId="04D3F25D" w:rsidR="00A93DCE" w:rsidRPr="00A93DCE" w:rsidRDefault="00A93DCE" w:rsidP="00A93DCE">
      <w:r w:rsidRPr="00A93DCE">
        <w:t> In a modern host where the program activates but cannot complete</w:t>
      </w:r>
      <w:r w:rsidR="0048689D">
        <w:t>,</w:t>
      </w:r>
      <w:r w:rsidRPr="00A93DCE">
        <w:t xml:space="preserve"> either because the cardiac architecture has transitioned past the suction threshold (the population at large) or because the activation occurred </w:t>
      </w:r>
      <w:proofErr w:type="spellStart"/>
      <w:r w:rsidRPr="00A93DCE">
        <w:t>iatrogenically</w:t>
      </w:r>
      <w:proofErr w:type="spellEnd"/>
      <w:r w:rsidRPr="00A93DCE">
        <w:t xml:space="preserve"> without the ancestral support structure (the longitudinal case study)</w:t>
      </w:r>
      <w:r w:rsidR="0048689D">
        <w:t xml:space="preserve">, </w:t>
      </w:r>
      <w:r w:rsidRPr="00A93DCE">
        <w:t>the pituitary operates beyond its optimal range indefinitely. The resulting condition resembles prolonged operation of a regulatory system beyond its optimal range: a strategy that may preserve short-term functional performance while progressively reducing long-term adaptive reserve.</w:t>
      </w:r>
    </w:p>
    <w:p w14:paraId="5647764A" w14:textId="0D00E92D" w:rsidR="00A93DCE" w:rsidRPr="00A93DCE" w:rsidRDefault="00A93DCE" w:rsidP="00A93DCE">
      <w:r w:rsidRPr="00A93DCE">
        <w:t xml:space="preserve"> This is what the archaic clinical literature termed </w:t>
      </w:r>
      <w:r w:rsidR="0048689D">
        <w:t>“</w:t>
      </w:r>
      <w:r w:rsidRPr="00A93DCE">
        <w:t>hypophyseal failure</w:t>
      </w:r>
      <w:r w:rsidR="0048689D">
        <w:t>.”</w:t>
      </w:r>
      <w:r w:rsidRPr="00A93DCE">
        <w:t xml:space="preserve"> not a disease of the pituitary but the exhaustion of a gland running a program it was not designed to sustain without resolution. The pituitary does not fail because it is defective. It fails because the program it is executing has no endpoint in the modern context. The conversion sequence stalls. The </w:t>
      </w:r>
      <w:r w:rsidRPr="00A93DCE">
        <w:lastRenderedPageBreak/>
        <w:t xml:space="preserve">pituitary continues to drive perfusion and endocrine management at elevated capacity. The adaptive reserve </w:t>
      </w:r>
      <w:proofErr w:type="gramStart"/>
      <w:r w:rsidRPr="00A93DCE">
        <w:t>depletes</w:t>
      </w:r>
      <w:proofErr w:type="gramEnd"/>
      <w:r w:rsidRPr="00A93DCE">
        <w:t>. The gland's functional output declines</w:t>
      </w:r>
      <w:r w:rsidR="00835E98">
        <w:t xml:space="preserve">. This is not acute decline, </w:t>
      </w:r>
      <w:r w:rsidRPr="00A93DCE">
        <w:t xml:space="preserve">but </w:t>
      </w:r>
      <w:proofErr w:type="spellStart"/>
      <w:r w:rsidRPr="00A93DCE">
        <w:t>progress</w:t>
      </w:r>
      <w:r w:rsidR="00835E98">
        <w:t>e</w:t>
      </w:r>
      <w:proofErr w:type="spellEnd"/>
      <w:r w:rsidRPr="00A93DCE">
        <w:t xml:space="preserve">, over years or decades, producing the gradual endocrine insufficiency that the original article documented in its cohort and that the longitudinal case study has observed over thirty years (Craddock, </w:t>
      </w:r>
      <w:r w:rsidR="009B06E6">
        <w:t>2026c)</w:t>
      </w:r>
      <w:r w:rsidRPr="00A93DCE">
        <w:t>.</w:t>
      </w:r>
    </w:p>
    <w:p w14:paraId="0ED91129" w14:textId="77777777" w:rsidR="00A93DCE" w:rsidRPr="00A93DCE" w:rsidRDefault="00A93DCE" w:rsidP="00A93DCE">
      <w:r w:rsidRPr="00A93DCE">
        <w:t>The distinction between pathological pituitary failure and programmatic pituitary exhaustion is clinically significant. Standard endocrinology treats pituitary insufficiency as a glandular disease — a failure of the organ itself. The framework described here treats it as the predictable outcome of a preserved system running without the environmental context that would allow its program to complete. The treatment implications are fundamentally different: the gland does not need to be replaced or supplemented. The program needs to be understood, and ideally, completed or safely resolved.</w:t>
      </w:r>
    </w:p>
    <w:p w14:paraId="4900F1E4" w14:textId="1EE62FF1" w:rsidR="00A93DCE" w:rsidRPr="00A93DCE" w:rsidRDefault="00A93DCE" w:rsidP="00A93DCE">
      <w:pPr>
        <w:pStyle w:val="Heading2"/>
      </w:pPr>
      <w:r w:rsidRPr="00A93DCE">
        <w:t> 8.5 Consequences </w:t>
      </w:r>
    </w:p>
    <w:p w14:paraId="03F575A7" w14:textId="4CB5B972" w:rsidR="009E14B6" w:rsidRDefault="009E14B6" w:rsidP="009E14B6">
      <w:r>
        <w:t>T</w:t>
      </w:r>
      <w:r>
        <w:t>he trinity's collapse was not a single event. It was a geographic gradient that followed the dispersal.</w:t>
      </w:r>
    </w:p>
    <w:p w14:paraId="31F80F89" w14:textId="53B273ED" w:rsidR="009E14B6" w:rsidRDefault="009E14B6" w:rsidP="009E14B6">
      <w:r>
        <w:t xml:space="preserve"> In the Rift Valley core zone, where all three keys remained present, the full program continued to operate. The social structure sustained it. The elders produced transmissible knowledge. The phenotype persisted. But at the edges of the expanding human range</w:t>
      </w:r>
      <w:r w:rsidR="00835E98">
        <w:t xml:space="preserve"> and</w:t>
      </w:r>
      <w:r>
        <w:t xml:space="preserve"> in environments without saline-oscillating water sources</w:t>
      </w:r>
      <w:r w:rsidR="00835E98">
        <w:t xml:space="preserve">, </w:t>
      </w:r>
      <w:r>
        <w:t xml:space="preserve">the third key was missing. Infants born in these peripheral populations carried the symbiont (key one) and may have achieved adequate colonization density (key two), but without the electrolyte oscillation, the preservation program did not fully activate. The developmental transition </w:t>
      </w:r>
      <w:proofErr w:type="gramStart"/>
      <w:r>
        <w:t>completed</w:t>
      </w:r>
      <w:proofErr w:type="gramEnd"/>
      <w:r>
        <w:t>. Pump-dominant adults emerged.</w:t>
      </w:r>
    </w:p>
    <w:p w14:paraId="76316800" w14:textId="428BA9C4" w:rsidR="009E14B6" w:rsidRDefault="009E14B6" w:rsidP="009E14B6">
      <w:r>
        <w:t xml:space="preserve"> These pump-dominant individuals carried a compound advantage in the new environments. They were physically strong through their reproductive years without the transitional decline phases that the deepened program now produced in preserved individuals. They were free from the social dependency the trinity required</w:t>
      </w:r>
      <w:r w:rsidR="00835E98">
        <w:t>. T</w:t>
      </w:r>
      <w:r>
        <w:t>hey did not need a group to feed and protect them through vulnerable phases</w:t>
      </w:r>
      <w:r w:rsidR="00835E98">
        <w:t>, a</w:t>
      </w:r>
      <w:r>
        <w:t>nd they were in environments where the elder's specialized knowledge, refined for Rift Valley conditions, was less immediately applicable. The survival value of the preserved elder's cognitive output diminished in proportion to the distance from the ecological context that output was calibrated to.</w:t>
      </w:r>
    </w:p>
    <w:p w14:paraId="3CBEF4DC" w14:textId="494989A9" w:rsidR="009E14B6" w:rsidRDefault="009E14B6" w:rsidP="009E14B6">
      <w:r>
        <w:t xml:space="preserve"> Pump-dominant individuals outcompeted preserved individuals reproductively at the geographic margins. The elder-protecting social structure, without elders to protect, lost its adaptive function. The trinity collapsed </w:t>
      </w:r>
      <w:r w:rsidR="00835E98">
        <w:t xml:space="preserve">then collapsed.  Deteriorating </w:t>
      </w:r>
      <w:r>
        <w:t xml:space="preserve">not from the center, but from the edges inward. As the pump-dominant phenotype expanded through the peripheral populations and </w:t>
      </w:r>
      <w:proofErr w:type="gramStart"/>
      <w:r>
        <w:t>eventually</w:t>
      </w:r>
      <w:proofErr w:type="gramEnd"/>
      <w:r>
        <w:t xml:space="preserve"> back into contact with the core zone, the reproductive advantage compounded. The social structures that had sustained the program for millions of years were undermined by a simpler, more reproductively efficient phenotype that did not require them.</w:t>
      </w:r>
    </w:p>
    <w:p w14:paraId="00456740" w14:textId="317E3098" w:rsidR="009E14B6" w:rsidRDefault="009E14B6" w:rsidP="009E14B6">
      <w:r>
        <w:t xml:space="preserve"> The symbiont persisted commensally. It persists today in virtually every human. The program persists in the organism's chromatin-encoded memory (Section 5.8). But the hardware the program requires</w:t>
      </w:r>
      <w:r w:rsidR="00835E98">
        <w:t>, notably</w:t>
      </w:r>
      <w:r>
        <w:t xml:space="preserve"> the preserved suction heart, the maintained pituitary</w:t>
      </w:r>
      <w:r w:rsidR="00835E98">
        <w:t xml:space="preserve">, </w:t>
      </w:r>
      <w:r>
        <w:t xml:space="preserve">is no longer produced because the environmental key that activated the preservation sequence no longer turns </w:t>
      </w:r>
      <w:proofErr w:type="gramStart"/>
      <w:r>
        <w:t>in</w:t>
      </w:r>
      <w:proofErr w:type="gramEnd"/>
      <w:r>
        <w:t xml:space="preserve"> any modern lock. A deep system </w:t>
      </w:r>
      <w:proofErr w:type="gramStart"/>
      <w:r>
        <w:t>state</w:t>
      </w:r>
      <w:proofErr w:type="gramEnd"/>
      <w:r>
        <w:t xml:space="preserve"> that the organism still remembers how to enter, in a host whose developmental program no longer permits </w:t>
      </w:r>
      <w:proofErr w:type="gramStart"/>
      <w:r>
        <w:t>the entry</w:t>
      </w:r>
      <w:proofErr w:type="gramEnd"/>
      <w:r>
        <w:t>.</w:t>
      </w:r>
    </w:p>
    <w:p w14:paraId="0A93371B" w14:textId="630D6098" w:rsidR="009E14B6" w:rsidRDefault="009E14B6" w:rsidP="009E14B6">
      <w:r>
        <w:t xml:space="preserve"> The modern condition described in Craddock (</w:t>
      </w:r>
      <w:r w:rsidR="009B06E6">
        <w:t>2026c)</w:t>
      </w:r>
      <w:r w:rsidR="00835E98">
        <w:t>,</w:t>
      </w:r>
      <w:r>
        <w:t xml:space="preserve"> a full activation of the ancient program triggered by iatrogenic circumstances in an adult whose developmental transition </w:t>
      </w:r>
      <w:r>
        <w:lastRenderedPageBreak/>
        <w:t>completed normally decades earlier</w:t>
      </w:r>
      <w:r w:rsidR="00835E98">
        <w:t xml:space="preserve">, </w:t>
      </w:r>
      <w:r>
        <w:t>represents the most extreme edge case: the old program running on hardware that was never preserved for it. That it has been sustained for over thirty years under these conditions speaks to the robustness of the program itself and raises the question addressed in Section 9.2: what could be achieved with the full playbook and a medical system prepared to support the process?</w:t>
      </w:r>
    </w:p>
    <w:p w14:paraId="0B930E9E" w14:textId="730D4175" w:rsidR="008242FA" w:rsidRDefault="00A93DCE" w:rsidP="008242FA">
      <w:pPr>
        <w:pStyle w:val="Heading2"/>
      </w:pPr>
      <w:r w:rsidRPr="00A93DCE">
        <w:t> </w:t>
      </w:r>
      <w:r w:rsidR="008242FA">
        <w:t>8.</w:t>
      </w:r>
      <w:r>
        <w:t>6</w:t>
      </w:r>
      <w:r w:rsidR="008242FA">
        <w:t xml:space="preserve"> Salt Sensitivity and the Vestigial Conversion Mechanism </w:t>
      </w:r>
    </w:p>
    <w:p w14:paraId="00EC4B18" w14:textId="77777777" w:rsidR="008242FA" w:rsidRDefault="008242FA" w:rsidP="00556297">
      <w:r>
        <w:t>The Saline Oscillation Hypothesis predicts that the cardiovascular response to sodium variation should differ across individuals in proportion to the signaling density of the distributed commensal system described in Section 5.7. Modern clinical data on salt-sensitive versus salt-resistant hypertension is consistent with this prediction.</w:t>
      </w:r>
    </w:p>
    <w:p w14:paraId="7EDA1B90" w14:textId="64ABBBEB" w:rsidR="008242FA" w:rsidRDefault="008242FA" w:rsidP="00556297">
      <w:r>
        <w:t>Approximately one-third of the adult population globally exhibits hypertension, and salt sensitivity</w:t>
      </w:r>
      <w:r w:rsidR="00835E98">
        <w:t xml:space="preserve">, </w:t>
      </w:r>
      <w:r>
        <w:t>the degree to which blood pressure responds to changes in dietary sodium</w:t>
      </w:r>
      <w:r w:rsidR="00835E98">
        <w:t xml:space="preserve">. </w:t>
      </w:r>
      <w:r>
        <w:t>varies substantially across individuals. Genetic variation, renal sodium handling differences, RAAS polymorphisms, and vascular reactivity have each been proposed as contributing factors. No unified mechanistic explanation has been established.</w:t>
      </w:r>
    </w:p>
    <w:p w14:paraId="5E75BFF8" w14:textId="77777777" w:rsidR="008242FA" w:rsidRDefault="008242FA" w:rsidP="00556297">
      <w:r>
        <w:t>The framework presented in this paper proposes a two-gate model in which salt sensitivity and its clinical consequences are governed by two independent variables: the signaling density of the commensal Candida population (gate one), and the cardiac architectural capacity to complete the conversion sequence (gate two).</w:t>
      </w:r>
    </w:p>
    <w:p w14:paraId="026ECE8F" w14:textId="77777777" w:rsidR="008242FA" w:rsidRDefault="008242FA" w:rsidP="00A93DCE">
      <w:pPr>
        <w:pStyle w:val="Heading3"/>
      </w:pPr>
      <w:r>
        <w:t>Gate One: Signaling Density</w:t>
      </w:r>
    </w:p>
    <w:p w14:paraId="72A9A94F" w14:textId="77777777" w:rsidR="008242FA" w:rsidRDefault="008242FA" w:rsidP="00556297">
      <w:r>
        <w:t xml:space="preserve">Section 5.7 established that </w:t>
      </w:r>
      <w:r w:rsidRPr="00810600">
        <w:rPr>
          <w:i/>
          <w:iCs/>
        </w:rPr>
        <w:t>C. albicans</w:t>
      </w:r>
      <w:r>
        <w:t xml:space="preserve"> colonization is near-ubiquitous in humans, with the conventionally cited 40–60% detection rate reflecting assay sensitivity rather than true prevalence. What varies between individuals is not whether the organism is present but the density, distribution, and aggregate signaling output of the distributed system at each tissue interface.</w:t>
      </w:r>
    </w:p>
    <w:p w14:paraId="021F283D" w14:textId="514C6BD2" w:rsidR="008242FA" w:rsidRDefault="008242FA" w:rsidP="00556297">
      <w:r>
        <w:t>In a host with high commensal density, the organism's aggregate vascular signaling is proportionally greater: more PGE₂ production from host-derived arachidonic acid (Section 5.5d), more farnesol interacting with voltage-gated calcium channels (Section 5.5), more ECS-mediated modulation of cardiac conduction and perfusion dynamics (Section 4.3), and a larger collective footprint across the vascular control systems the organism accesses. When this host encounters a sodium perturbation</w:t>
      </w:r>
      <w:r w:rsidR="00835E98">
        <w:t xml:space="preserve">, </w:t>
      </w:r>
      <w:r>
        <w:t>whether excess sodium producing volume expansion or sodium deficit triggering SIADH-type water retention</w:t>
      </w:r>
      <w:r w:rsidR="00835E98">
        <w:t>,</w:t>
      </w:r>
      <w:r>
        <w:t xml:space="preserve"> the distributed system's vascular signaling amplifies the cardiovascular response. The response scales with the operator's density, not with a defect in the host's hardware.</w:t>
      </w:r>
    </w:p>
    <w:p w14:paraId="33AEF9DF" w14:textId="77777777" w:rsidR="008242FA" w:rsidRDefault="008242FA" w:rsidP="00556297">
      <w:r>
        <w:t>In a host with low commensal density, the same sodium perturbation meets insufficient signaling mass to drive a meaningful vascular response. The hardware is identical. The operator is present but below the threshold at which its aggregate output moves the system.</w:t>
      </w:r>
    </w:p>
    <w:p w14:paraId="61E02007" w14:textId="77777777" w:rsidR="008242FA" w:rsidRDefault="008242FA" w:rsidP="00556297">
      <w:r>
        <w:t xml:space="preserve">This reframing generates predictions that the hardware-only model does not. Salt sensitivity increases with age (Weinberger and Fineberg, 1991). This is consistent with the documented tendency for Candida colonization density to increase over the lifespan through cumulative antibiotic exposure, hormonal changes, immune senescence, and declining mucosal barrier integrity. A person who is salt-resistant at 25 may become salt-sensitive at 50 not because their cardiovascular genetics changed but because their colonization deepened in the intervening decades. The hardware-only model requires a genetic or structural change to explain this shift. </w:t>
      </w:r>
      <w:r>
        <w:lastRenderedPageBreak/>
        <w:t>The colonization model requires only what is already documented: commensal density changes over time.</w:t>
      </w:r>
    </w:p>
    <w:p w14:paraId="76C3212B" w14:textId="77777777" w:rsidR="008A3403" w:rsidRDefault="008242FA" w:rsidP="00556297">
      <w:r>
        <w:t xml:space="preserve">Geographic and demographic variation in salt sensitivity prevalence is similarly consistent. Populations with different dietary histories, antibiotic exposure patterns, and microbiome compositions carry different colonization profiles. This connects directly to the mycobiome prediction in Section 10.1: comparative Candida colonization profiles in populations near hypersaline versus freshwater sources in the modern East African Rift System should correlate with population-level differences in salt sensitivity, if commensal signaling </w:t>
      </w:r>
      <w:proofErr w:type="gramStart"/>
      <w:r>
        <w:t>density</w:t>
      </w:r>
      <w:proofErr w:type="gramEnd"/>
      <w:r>
        <w:t xml:space="preserve"> is the mediating variable.</w:t>
      </w:r>
    </w:p>
    <w:p w14:paraId="0CB696D3" w14:textId="77777777" w:rsidR="008A3403" w:rsidRDefault="008242FA" w:rsidP="008A3403">
      <w:pPr>
        <w:pStyle w:val="Heading2"/>
      </w:pPr>
      <w:r>
        <w:t>Gate Two: Cardiac Architecture</w:t>
      </w:r>
    </w:p>
    <w:p w14:paraId="1F1D7FA4" w14:textId="77777777" w:rsidR="00E85315" w:rsidRDefault="008A3403" w:rsidP="00556297">
      <w:r w:rsidRPr="008A3403">
        <w:t xml:space="preserve">The first gate determines whether the vascular response initiates. The second gate determines whether it </w:t>
      </w:r>
      <w:proofErr w:type="gramStart"/>
      <w:r w:rsidRPr="008A3403">
        <w:t>resolves</w:t>
      </w:r>
      <w:proofErr w:type="gramEnd"/>
      <w:r w:rsidRPr="008A3403">
        <w:t xml:space="preserve">. </w:t>
      </w:r>
      <w:r w:rsidR="00E85315">
        <w:t xml:space="preserve"> </w:t>
      </w:r>
    </w:p>
    <w:p w14:paraId="7AF0906B" w14:textId="77777777" w:rsidR="00C86A39" w:rsidRDefault="008A3403" w:rsidP="00556297">
      <w:r w:rsidRPr="008A3403">
        <w:t xml:space="preserve">As described in Section 8.1, every mammal is born with suction-dominant cardiac architecture. In the ancestral Rift Valley context, where all three activation keys were present (Section 8.3), the symbiont preserved the neonatal suction-dominant heart into adulthood through continuous ECS-mediated management of cardiac conduction during the critical postnatal developmental window. These preserved individuals entered the saline oscillation environment with the cardiac architecture the program required. </w:t>
      </w:r>
    </w:p>
    <w:p w14:paraId="7474EDAC" w14:textId="024E0576" w:rsidR="00C86A39" w:rsidRDefault="00C86A39" w:rsidP="00556297">
      <w:r w:rsidRPr="006752AD">
        <w:t>When they encountered freshened water sources during humid periods, their systems</w:t>
      </w:r>
      <w:r>
        <w:t xml:space="preserve">, already </w:t>
      </w:r>
      <w:r w:rsidRPr="006752AD">
        <w:t>calibrated to higher electrolyte concentrations</w:t>
      </w:r>
      <w:r>
        <w:t xml:space="preserve">, </w:t>
      </w:r>
      <w:r w:rsidRPr="006752AD">
        <w:t xml:space="preserve">responded with SIADH-type water retention, volume expansion, and elevated blood pressure (Section 4.1). In an unmanaged host, this would be a crisis event. In a host with a preserved suction heart and a biochemical computer onboard in sufficient density, the elevated blood pressure did not merely provide passive perfusion pressure. It actively </w:t>
      </w:r>
      <w:proofErr w:type="gramStart"/>
      <w:r w:rsidRPr="006752AD">
        <w:t>amplified</w:t>
      </w:r>
      <w:proofErr w:type="gramEnd"/>
      <w:r w:rsidRPr="006752AD">
        <w:t xml:space="preserve"> the suction mechanism. Increased blood volume and elevated systemic pressure meant more venous return available per cardiac cycle</w:t>
      </w:r>
      <w:r>
        <w:t xml:space="preserve"> (basic fluid mechanics)</w:t>
      </w:r>
      <w:r w:rsidRPr="006752AD">
        <w:t>. In a suction-dominant heart, more input volume produces greater diastolic pull</w:t>
      </w:r>
      <w:r>
        <w:t xml:space="preserve">.  This is </w:t>
      </w:r>
      <w:r w:rsidRPr="006752AD">
        <w:t>basic conservation of flow in a suction-driven system. The pituitary, sitting in the preferential perfusion zone described in Section 4.3, outside the blood-brain barrier and directly in the suction path, received increased perfusion proportional to the increased flow. The BP spike amplified the suction heart's throughput, which amplified pituitary perfusion, which amplified the symbiont's endocrine governance capacity through the pituitary at exactly the moment the program needed maximum control to drive the conversion. The system used the crisis as the fuel for the solution. What would have been a physiological emergency was instead a conversion</w:t>
      </w:r>
      <w:r>
        <w:t>,</w:t>
      </w:r>
      <w:r w:rsidR="0048689D">
        <w:t xml:space="preserve"> </w:t>
      </w:r>
      <w:r>
        <w:t>and</w:t>
      </w:r>
      <w:r w:rsidRPr="006752AD">
        <w:t xml:space="preserve"> blood pressure normalized as the circulatory reorganization completed.</w:t>
      </w:r>
    </w:p>
    <w:p w14:paraId="4420666E" w14:textId="26C113ED" w:rsidR="00E85315" w:rsidRDefault="008A3403" w:rsidP="00556297">
      <w:r w:rsidRPr="008A3403">
        <w:t xml:space="preserve"> The longitudinal case study documents this resolution in a modern subject. During the 2022 IVC constriction release event, the system transitioned through altered vascular dynamics into a reorganized perfusion state, after which approximately 30 pounds of retained fluid was lost over six weeks (Craddock, 2022; </w:t>
      </w:r>
      <w:r w:rsidR="009B06E6">
        <w:t>2026c)</w:t>
      </w:r>
      <w:r w:rsidRPr="008A3403">
        <w:t>. The waypoint resolved because the conditions for the next step in the sequence were met.</w:t>
      </w:r>
    </w:p>
    <w:p w14:paraId="32C7E079" w14:textId="19FF340D" w:rsidR="0014771D" w:rsidRDefault="008A3403" w:rsidP="00556297">
      <w:pPr>
        <w:rPr>
          <w:b/>
          <w:bCs/>
        </w:rPr>
      </w:pPr>
      <w:r w:rsidRPr="008A3403">
        <w:t xml:space="preserve"> In modern adult populations, the three-key activation conditions described in Section 8.3 are not met during postnatal development. The third key</w:t>
      </w:r>
      <w:r w:rsidR="00AD22CD">
        <w:t>,</w:t>
      </w:r>
      <w:r w:rsidRPr="008A3403">
        <w:t xml:space="preserve"> the electrolyte oscillation signal — is absent. The normal developmental transition from suction-dominant to pump-dominant cardiac architecture completes on schedule. By adulthood, the pump-dominant heart cannot transition back to suction-dominant operation (absent extreme iatrogenic intervention). Gate one opens</w:t>
      </w:r>
      <w:r w:rsidR="00AD22CD">
        <w:t xml:space="preserve">, </w:t>
      </w:r>
      <w:proofErr w:type="gramStart"/>
      <w:r w:rsidR="00AD22CD">
        <w:t xml:space="preserve">and </w:t>
      </w:r>
      <w:r w:rsidRPr="008A3403">
        <w:t xml:space="preserve"> the</w:t>
      </w:r>
      <w:proofErr w:type="gramEnd"/>
      <w:r w:rsidRPr="008A3403">
        <w:t xml:space="preserve"> commensal system's aggregate signaling drives the vascular response to sodium </w:t>
      </w:r>
      <w:r w:rsidRPr="008A3403">
        <w:lastRenderedPageBreak/>
        <w:t>perturbation. Gate two is closed</w:t>
      </w:r>
      <w:r w:rsidR="00AD22CD">
        <w:t xml:space="preserve">. This is </w:t>
      </w:r>
      <w:r w:rsidRPr="008A3403">
        <w:t>not because of a genetic mutation, but because the developmental window during which the suction heart could have been preserved has long since passed. The elevated blood pressure, designed to be transient in a preserved host, becomes sustained in one whose cardiac architecture matured past the point of return.</w:t>
      </w:r>
    </w:p>
    <w:p w14:paraId="44DBDC9A" w14:textId="3269B8E7" w:rsidR="008242FA" w:rsidRDefault="00556297" w:rsidP="00556297">
      <w:pPr>
        <w:pStyle w:val="Heading3"/>
        <w:ind w:firstLine="0"/>
      </w:pPr>
      <w:r>
        <w:t>T</w:t>
      </w:r>
      <w:r w:rsidR="008242FA">
        <w:t>he Vestigial Trap</w:t>
      </w:r>
    </w:p>
    <w:p w14:paraId="53D92C87" w14:textId="77777777" w:rsidR="008242FA" w:rsidRDefault="008242FA" w:rsidP="00556297">
      <w:r>
        <w:t>This is the vestigial trap: a mechanism that was adaptive when the full conversion sequence was available becomes pathological when the sequence cannot complete. The waypoint persists for years, then decades. Sustained elevated blood pressure damages the vascular endothelium, promotes cardiac hypertrophy, compromises renal function, and increases stroke risk — consequences of maintaining a transient state indefinitely. The system is not broken. It is executing the first step of a program whose subsequent steps are no longer available.</w:t>
      </w:r>
    </w:p>
    <w:p w14:paraId="6007AA4E" w14:textId="1BAA017C" w:rsidR="008242FA" w:rsidRDefault="008242FA" w:rsidP="00556297">
      <w:r>
        <w:t xml:space="preserve">The oscillation model explains why both excess and deficit sodium exposure produce the same clinical outcome. The ancestral system was designed to </w:t>
      </w:r>
      <w:proofErr w:type="gramStart"/>
      <w:r>
        <w:t>cycle:</w:t>
      </w:r>
      <w:proofErr w:type="gramEnd"/>
      <w:r>
        <w:t xml:space="preserve"> salt buildup during arid periods calibrated the host's electrolyte set point upward; freshwater transition during humid periods created the delta that triggered the vascular response. Both directions are relevant</w:t>
      </w:r>
      <w:r w:rsidR="00AD22CD">
        <w:t xml:space="preserve">: </w:t>
      </w:r>
      <w:r>
        <w:t>salt buildup calibrates</w:t>
      </w:r>
      <w:r w:rsidR="00AD22CD">
        <w:t xml:space="preserve"> </w:t>
      </w:r>
      <w:proofErr w:type="gramStart"/>
      <w:r w:rsidR="00AD22CD">
        <w:t xml:space="preserve">and </w:t>
      </w:r>
      <w:r>
        <w:t xml:space="preserve"> </w:t>
      </w:r>
      <w:r w:rsidR="00AD22CD">
        <w:t>then</w:t>
      </w:r>
      <w:proofErr w:type="gramEnd"/>
      <w:r w:rsidR="00AD22CD">
        <w:t xml:space="preserve"> </w:t>
      </w:r>
      <w:r>
        <w:t>freshwater transition triggers. In modern humans frozen on one side of a cycle that no longer oscillates, deviation in either direction from the system's calibrated set point activates the response. The clinical literature's difficulty in establishing a simple linear relationship between sodium intake and blood pressure may reflect the fact that the underlying mechanism responds to the delta from calibration, not to the absolute sodium level.</w:t>
      </w:r>
    </w:p>
    <w:p w14:paraId="7CE621AC" w14:textId="77777777" w:rsidR="008242FA" w:rsidRDefault="008242FA" w:rsidP="00556297">
      <w:pPr>
        <w:pStyle w:val="Heading3"/>
        <w:ind w:firstLine="0"/>
      </w:pPr>
      <w:r>
        <w:t>Antihypertensive Pharmacology Within This Framework</w:t>
      </w:r>
    </w:p>
    <w:p w14:paraId="4C32F0C6" w14:textId="77777777" w:rsidR="008242FA" w:rsidRDefault="008242FA" w:rsidP="00556297">
      <w:r>
        <w:t>The standard clinical response to sustained hypertension is pharmacological blood pressure reduction through ACE inhibitors, angiotensin receptor blockers, calcium channel blockers, beta-blockers, or diuretics. Each class targets a different component of the vascular response machinery. All succeed in reducing the measured pressure. None addresses the colonization state or the conversion attempt that produces it.</w:t>
      </w:r>
    </w:p>
    <w:p w14:paraId="4B3DD912" w14:textId="0A940F76" w:rsidR="008242FA" w:rsidRDefault="008242FA" w:rsidP="00556297">
      <w:r>
        <w:t xml:space="preserve">Within this framework, antihypertensive therapy suppresses the waypoint without resolving the program that generated it. The </w:t>
      </w:r>
      <w:proofErr w:type="gramStart"/>
      <w:r>
        <w:t>distributed</w:t>
      </w:r>
      <w:proofErr w:type="gramEnd"/>
      <w:r>
        <w:t xml:space="preserve"> system's signaling remains intact. The conditions that triggered the response have not changed. The system re-initiates. The pressure returns. Dosage increases. Additional agents are added. Treatment-resistant hypertension</w:t>
      </w:r>
      <w:r w:rsidR="00AD22CD">
        <w:t>, often</w:t>
      </w:r>
      <w:r>
        <w:t xml:space="preserve"> requiring three or more agents at optimal doses</w:t>
      </w:r>
      <w:r w:rsidR="00AD22CD">
        <w:t xml:space="preserve">, </w:t>
      </w:r>
      <w:r>
        <w:t>is consistent with a system that keeps restarting a program rather than a static defect being incompletely treated.</w:t>
      </w:r>
    </w:p>
    <w:p w14:paraId="62E03150" w14:textId="77777777" w:rsidR="008242FA" w:rsidRDefault="008242FA" w:rsidP="00556297">
      <w:r>
        <w:t>This interpretation does not argue against antihypertensive treatment. In the absence of the full conversion sequence, sustained elevated blood pressure causes organ damage and death. Pharmacological reduction prevents this damage and is clinically necessary. The framework argues that the condition being treated is a vestigial program, and that the treatment's requirement for lifelong continuation reflects the ongoing nature of the conversion attempt rather than a chronic disease in the conventional sense.</w:t>
      </w:r>
    </w:p>
    <w:p w14:paraId="5B1AE4D6" w14:textId="473E8DA9" w:rsidR="008242FA" w:rsidRDefault="008242FA" w:rsidP="00556297">
      <w:pPr>
        <w:pStyle w:val="Heading3"/>
        <w:ind w:firstLine="0"/>
      </w:pPr>
      <w:r>
        <w:t>Prevalence as Evidence of Conservation</w:t>
      </w:r>
    </w:p>
    <w:p w14:paraId="237FAC09" w14:textId="6CF2FF4C" w:rsidR="008242FA" w:rsidRDefault="008242FA" w:rsidP="00556297">
      <w:r>
        <w:t>Essential hypertension affects approximately 1.3 billion people globally. This prevalence is consistent with a conserved mechanism from a period when the hominid population was universally colonized and under oscillatory electrolyte pressure in the East African Rift Valley. If the vascular response were a rare polymorphism, it would not affect a third of the global population. Its near-universal prevalence suggests it was the ancestral defaul</w:t>
      </w:r>
      <w:r w:rsidR="00AD22CD">
        <w:t>t and</w:t>
      </w:r>
      <w:r>
        <w:t xml:space="preserve"> the standard </w:t>
      </w:r>
      <w:r>
        <w:lastRenderedPageBreak/>
        <w:t xml:space="preserve">response of a colonized mammalian host to the environmental conditions under which the </w:t>
      </w:r>
      <w:r w:rsidR="00DD6777">
        <w:t>coevolution</w:t>
      </w:r>
      <w:r>
        <w:t>ary program operated. The variation in salt sensitivity across the modern population maps onto the variation in colonization density documented in the mycobiome literature, rather than onto a binary genetic division between responders and non-responders.</w:t>
      </w:r>
    </w:p>
    <w:p w14:paraId="7E258C70" w14:textId="48CBFF5F" w:rsidR="008242FA" w:rsidRDefault="008242FA" w:rsidP="00556297">
      <w:pPr>
        <w:pStyle w:val="Heading3"/>
        <w:ind w:firstLine="0"/>
      </w:pPr>
      <w:r>
        <w:t>Limitations and Pharmacological Confounds</w:t>
      </w:r>
    </w:p>
    <w:p w14:paraId="1820153C" w14:textId="77777777" w:rsidR="008242FA" w:rsidRDefault="008242FA" w:rsidP="00556297">
      <w:r>
        <w:t>This subsection is the most theoretical component of the cardiac architecture hypothesis, which is itself identified as the weakest link in the current framework (Section 10.4).</w:t>
      </w:r>
    </w:p>
    <w:p w14:paraId="7626C225" w14:textId="64794498" w:rsidR="008242FA" w:rsidRDefault="008242FA" w:rsidP="00556297">
      <w:r>
        <w:t xml:space="preserve">A natural question is whether existing antifungal pharmacology provides a test: if colonization density drives salt sensitivity, does reducing colonization reduce blood pressure? Current evidence does not cleanly address this question due to pharmacological confounds inherent in available antifungal agents. Azole antifungals, particularly itraconazole and posaconazole, inhibit mammalian CYP enzymes involved in steroid metabolism, producing mineralocorticoid excess and sodium retention independent of any effect on the commensal population </w:t>
      </w:r>
      <w:r w:rsidR="00AD22CD">
        <w:t>via</w:t>
      </w:r>
      <w:r>
        <w:t xml:space="preserve"> </w:t>
      </w:r>
      <w:r w:rsidR="00AD22CD">
        <w:t xml:space="preserve">a </w:t>
      </w:r>
      <w:r>
        <w:t>direct drug-on-host-steroidogenesis artifact that confounds interpretation. Amphotericin B, a fungicidal polyene that lyses fungal cells through ergosterol binding, produces acute hemodynamic instability consistent with the rapid release of intracellular contents from a dying population</w:t>
      </w:r>
      <w:r w:rsidR="00AD22CD">
        <w:t>, as</w:t>
      </w:r>
      <w:r>
        <w:t xml:space="preserve"> </w:t>
      </w:r>
      <w:r w:rsidRPr="00AD22CD">
        <w:rPr>
          <w:i/>
          <w:iCs/>
        </w:rPr>
        <w:t>C. albicans</w:t>
      </w:r>
      <w:r>
        <w:t xml:space="preserve"> maintains intracellular potassium at 200–300 mmol/L (Section 5.5e), and mass lysis would produce an acute electrolyte dump sufficient to perturb host hemodynamics. Fluconazole, which is fungistatic rather than fungicidal at standard doses, does not produce a strong blood pressure signal, consistent with gradual colonization reduction without mass die-off allowing host compensatory mechanisms to absorb the change. None of these </w:t>
      </w:r>
      <w:proofErr w:type="gramStart"/>
      <w:r>
        <w:t>observations</w:t>
      </w:r>
      <w:proofErr w:type="gramEnd"/>
      <w:r>
        <w:t xml:space="preserve"> cleanly tests the colonization-density model because none isolates the variable of interest</w:t>
      </w:r>
      <w:r w:rsidR="00AD22CD">
        <w:t>,</w:t>
      </w:r>
      <w:r>
        <w:t xml:space="preserve"> commensal signaling density</w:t>
      </w:r>
      <w:r w:rsidR="00AD22CD">
        <w:t xml:space="preserve">, </w:t>
      </w:r>
      <w:r>
        <w:t>from the drug's independent effects on host physiology.</w:t>
      </w:r>
    </w:p>
    <w:p w14:paraId="4D50F913" w14:textId="77777777" w:rsidR="008242FA" w:rsidRDefault="008242FA" w:rsidP="00556297">
      <w:r>
        <w:t>A clean test of the two-gate model would require mycobiome-stratified blood pressure studies: quantitative Candida colonization assessment combined with standardized salt sensitivity testing in the same cohort, with multivariate adjustment for age, BMI, renal function, and RAAS genotype. A correlation between colonization density and salt sensitivity, independent of the standard clinical predictors, would support gate one. Separately, comparative assessment of diastolic suction contribution in salt-sensitive versus salt-resistant individuals, if technically feasible, would address gate two. These studies have not been conducted.</w:t>
      </w:r>
    </w:p>
    <w:p w14:paraId="7FADBB7D" w14:textId="77777777" w:rsidR="00303C34" w:rsidRDefault="00000000">
      <w:r>
        <w:pict w14:anchorId="29B08550">
          <v:rect id="_x0000_i1341" style="width:0;height:1.5pt" o:hralign="center" o:hrstd="t" o:hr="t"/>
        </w:pict>
      </w:r>
    </w:p>
    <w:p w14:paraId="46FE963B" w14:textId="77777777" w:rsidR="00303C34" w:rsidRDefault="006C3A6A">
      <w:pPr>
        <w:pStyle w:val="Heading1"/>
      </w:pPr>
      <w:bookmarkStart w:id="40" w:name="homo-candidus-the-suppressed-phenotype"/>
      <w:bookmarkEnd w:id="37"/>
      <w:bookmarkEnd w:id="39"/>
      <w:r>
        <w:t>9. Homo Candidus: The Suppressed Phenotype</w:t>
      </w:r>
    </w:p>
    <w:p w14:paraId="2FD63DF6" w14:textId="77777777" w:rsidR="00303C34" w:rsidRDefault="006C3A6A">
      <w:pPr>
        <w:pStyle w:val="Heading2"/>
      </w:pPr>
      <w:bookmarkStart w:id="41" w:name="definition"/>
      <w:r>
        <w:t>9.1 Definition</w:t>
      </w:r>
    </w:p>
    <w:p w14:paraId="2887104C" w14:textId="08BE76E8" w:rsidR="000261E1" w:rsidRDefault="006C3A6A" w:rsidP="008E7F6E">
      <w:pPr>
        <w:pStyle w:val="FirstParagraph"/>
        <w:spacing w:before="0" w:after="0"/>
        <w:ind w:firstLine="0"/>
      </w:pPr>
      <w:r>
        <w:t xml:space="preserve">We designate </w:t>
      </w:r>
      <w:r>
        <w:rPr>
          <w:i/>
          <w:iCs/>
        </w:rPr>
        <w:t>Homo candidus</w:t>
      </w:r>
      <w:r>
        <w:t xml:space="preserve"> as the symbiont-active hominid phenotype: a functionally distinct physiological and cognitive state produced by full activation of the ECS-mediated </w:t>
      </w:r>
      <w:r w:rsidR="00DD6777">
        <w:t>coevolution</w:t>
      </w:r>
      <w:r>
        <w:t xml:space="preserve">ary program described in this paper. </w:t>
      </w:r>
      <w:r>
        <w:rPr>
          <w:i/>
          <w:iCs/>
        </w:rPr>
        <w:t>Homo candidus</w:t>
      </w:r>
      <w:r>
        <w:t xml:space="preserve"> is not a separate species but a conditional phenotype, the same organism operating under different management. The differences are material: altered cognition, altered pain processing, altered metabolic strategy, altered circadian architecture, altered perfusion dynamics, and throughout (but even more so in the late stages) enhanced creative and analytical output documented in both the historical cohort and the longitudinal case study (Craddock, </w:t>
      </w:r>
      <w:r w:rsidR="009B06E6">
        <w:t>2026c)</w:t>
      </w:r>
      <w:r>
        <w:t>.</w:t>
      </w:r>
    </w:p>
    <w:p w14:paraId="17096B68" w14:textId="77DE5C47" w:rsidR="00303C34" w:rsidRDefault="006C3A6A" w:rsidP="008E7F6E">
      <w:pPr>
        <w:pStyle w:val="FirstParagraph"/>
        <w:spacing w:before="0" w:after="0"/>
        <w:ind w:firstLine="0"/>
      </w:pPr>
      <w:r>
        <w:t xml:space="preserve">If the trinity model is correct, this phenotype was the engine of early human cognitive and cultural advancement. The lucid elders of </w:t>
      </w:r>
      <w:r>
        <w:rPr>
          <w:i/>
          <w:iCs/>
        </w:rPr>
        <w:t>Homo candidus</w:t>
      </w:r>
      <w:r>
        <w:t xml:space="preserve">, sustained by social protection and </w:t>
      </w:r>
      <w:r>
        <w:lastRenderedPageBreak/>
        <w:t>pharmacological support, produced the transmissible knowledge that accumulated into what we now call civilization.</w:t>
      </w:r>
    </w:p>
    <w:p w14:paraId="690B24EA" w14:textId="1FD58B64" w:rsidR="006B394B" w:rsidRPr="00477D53" w:rsidRDefault="006B394B" w:rsidP="008E7F6E">
      <w:pPr>
        <w:pStyle w:val="BodyText"/>
        <w:spacing w:before="0" w:after="0"/>
        <w:ind w:firstLine="0"/>
        <w:rPr>
          <w:b/>
          <w:bCs/>
        </w:rPr>
      </w:pPr>
      <w:r>
        <w:t xml:space="preserve">More broadly, given the evidence </w:t>
      </w:r>
      <w:r w:rsidR="00A339A8">
        <w:t xml:space="preserve">presented in </w:t>
      </w:r>
      <w:r>
        <w:t>Craddock (</w:t>
      </w:r>
      <w:r w:rsidR="009B06E6">
        <w:t>2026c)</w:t>
      </w:r>
      <w:r>
        <w:t xml:space="preserve">, this is not </w:t>
      </w:r>
      <w:r w:rsidRPr="006B394B">
        <w:t>a disease invention of modern medicine but a</w:t>
      </w:r>
      <w:r w:rsidRPr="00477D53">
        <w:rPr>
          <w:b/>
          <w:bCs/>
        </w:rPr>
        <w:t xml:space="preserve"> deep system state that the organism still remembers how to enter.</w:t>
      </w:r>
    </w:p>
    <w:p w14:paraId="283CA0A0" w14:textId="36E40C71" w:rsidR="00F03553" w:rsidRDefault="00556297" w:rsidP="00F03553">
      <w:pPr>
        <w:pStyle w:val="Heading2"/>
        <w:spacing w:after="200"/>
      </w:pPr>
      <w:bookmarkStart w:id="42" w:name="ethical-implications-of-the-redaction"/>
      <w:bookmarkEnd w:id="41"/>
      <w:r>
        <w:t xml:space="preserve">9.2 </w:t>
      </w:r>
      <w:r w:rsidR="00F03553">
        <w:t>The Attention “Gap”</w:t>
      </w:r>
      <w:r w:rsidR="00291949">
        <w:t xml:space="preserve"> Issue</w:t>
      </w:r>
    </w:p>
    <w:p w14:paraId="3BA39317" w14:textId="20599883" w:rsidR="00F03553" w:rsidRDefault="00F03553" w:rsidP="008E7F6E">
      <w:pPr>
        <w:spacing w:after="60"/>
        <w:ind w:firstLine="0"/>
      </w:pPr>
      <w:r>
        <w:t>Despite the apparent potential lethality of fungal pathogens and the number of deaths they cause, Fungal research has been neglected.  Figure 3 illustrates the gap in funding compared to the attributable deaths.  Approximately 2% of total infectious disease funding went towards a category with approximately 15% of the attributed deaths.</w:t>
      </w:r>
    </w:p>
    <w:p w14:paraId="0E8C2A99" w14:textId="77777777" w:rsidR="008E7F6E" w:rsidRDefault="008E7F6E" w:rsidP="008E7F6E">
      <w:pPr>
        <w:spacing w:after="60"/>
        <w:ind w:firstLine="0"/>
      </w:pPr>
    </w:p>
    <w:p w14:paraId="0D4EBFC9" w14:textId="77777777" w:rsidR="00F03553" w:rsidRPr="0034390D" w:rsidRDefault="00F03553" w:rsidP="008E7F6E">
      <w:pPr>
        <w:spacing w:after="60"/>
        <w:ind w:firstLine="0"/>
        <w:rPr>
          <w:b/>
          <w:bCs/>
        </w:rPr>
      </w:pPr>
      <w:r w:rsidRPr="0034390D">
        <w:rPr>
          <w:b/>
          <w:bCs/>
        </w:rPr>
        <w:t xml:space="preserve">Figure </w:t>
      </w:r>
      <w:r>
        <w:rPr>
          <w:b/>
          <w:bCs/>
        </w:rPr>
        <w:t>3</w:t>
      </w:r>
      <w:r w:rsidRPr="0034390D">
        <w:rPr>
          <w:b/>
          <w:bCs/>
        </w:rPr>
        <w:t xml:space="preserve"> Infection Disease: Estimated Annual Deaths vs. Research Funding</w:t>
      </w:r>
    </w:p>
    <w:tbl>
      <w:tblPr>
        <w:tblStyle w:val="TableGrid"/>
        <w:tblW w:w="0" w:type="auto"/>
        <w:tblLook w:val="04A0" w:firstRow="1" w:lastRow="0" w:firstColumn="1" w:lastColumn="0" w:noHBand="0" w:noVBand="1"/>
      </w:tblPr>
      <w:tblGrid>
        <w:gridCol w:w="1072"/>
        <w:gridCol w:w="1927"/>
        <w:gridCol w:w="2750"/>
        <w:gridCol w:w="3601"/>
      </w:tblGrid>
      <w:tr w:rsidR="00F03553" w:rsidRPr="0034390D" w14:paraId="7BE87A93" w14:textId="77777777" w:rsidTr="00FC5E83">
        <w:tc>
          <w:tcPr>
            <w:tcW w:w="0" w:type="auto"/>
            <w:hideMark/>
          </w:tcPr>
          <w:p w14:paraId="2120411D" w14:textId="77777777" w:rsidR="00F03553" w:rsidRPr="0034390D" w:rsidRDefault="00F03553" w:rsidP="008E7F6E">
            <w:pPr>
              <w:spacing w:after="60" w:line="259" w:lineRule="auto"/>
              <w:ind w:firstLine="0"/>
              <w:jc w:val="center"/>
              <w:rPr>
                <w:b/>
                <w:bCs/>
              </w:rPr>
            </w:pPr>
            <w:r w:rsidRPr="0034390D">
              <w:rPr>
                <w:b/>
                <w:bCs/>
              </w:rPr>
              <w:t>Type</w:t>
            </w:r>
          </w:p>
        </w:tc>
        <w:tc>
          <w:tcPr>
            <w:tcW w:w="0" w:type="auto"/>
            <w:hideMark/>
          </w:tcPr>
          <w:p w14:paraId="6D6EA6C3" w14:textId="77777777" w:rsidR="00F03553" w:rsidRPr="0034390D" w:rsidRDefault="00F03553" w:rsidP="008E7F6E">
            <w:pPr>
              <w:spacing w:after="60" w:line="259" w:lineRule="auto"/>
              <w:ind w:firstLine="0"/>
              <w:jc w:val="center"/>
              <w:rPr>
                <w:b/>
                <w:bCs/>
              </w:rPr>
            </w:pPr>
            <w:r w:rsidRPr="0034390D">
              <w:rPr>
                <w:b/>
                <w:bCs/>
              </w:rPr>
              <w:t>Estimated annual deaths</w:t>
            </w:r>
          </w:p>
        </w:tc>
        <w:tc>
          <w:tcPr>
            <w:tcW w:w="0" w:type="auto"/>
            <w:hideMark/>
          </w:tcPr>
          <w:p w14:paraId="49006DA4" w14:textId="77777777" w:rsidR="00F03553" w:rsidRPr="0034390D" w:rsidRDefault="00F03553" w:rsidP="008E7F6E">
            <w:pPr>
              <w:spacing w:after="60" w:line="259" w:lineRule="auto"/>
              <w:ind w:firstLine="0"/>
              <w:jc w:val="center"/>
              <w:rPr>
                <w:b/>
                <w:bCs/>
              </w:rPr>
            </w:pPr>
            <w:r w:rsidRPr="0034390D">
              <w:rPr>
                <w:b/>
                <w:bCs/>
              </w:rPr>
              <w:t>Comparative annual research funding</w:t>
            </w:r>
          </w:p>
        </w:tc>
        <w:tc>
          <w:tcPr>
            <w:tcW w:w="0" w:type="auto"/>
            <w:hideMark/>
          </w:tcPr>
          <w:p w14:paraId="307B0E83" w14:textId="77777777" w:rsidR="00F03553" w:rsidRPr="0034390D" w:rsidRDefault="00F03553" w:rsidP="008E7F6E">
            <w:pPr>
              <w:spacing w:after="60" w:line="259" w:lineRule="auto"/>
              <w:ind w:firstLine="0"/>
              <w:jc w:val="center"/>
              <w:rPr>
                <w:b/>
                <w:bCs/>
              </w:rPr>
            </w:pPr>
            <w:r w:rsidRPr="0034390D">
              <w:rPr>
                <w:b/>
                <w:bCs/>
              </w:rPr>
              <w:t>Sources</w:t>
            </w:r>
          </w:p>
        </w:tc>
      </w:tr>
      <w:tr w:rsidR="00F03553" w:rsidRPr="0034390D" w14:paraId="66B1F994" w14:textId="77777777" w:rsidTr="00FC5E83">
        <w:tc>
          <w:tcPr>
            <w:tcW w:w="0" w:type="auto"/>
            <w:hideMark/>
          </w:tcPr>
          <w:p w14:paraId="20B34214" w14:textId="77777777" w:rsidR="00F03553" w:rsidRPr="0034390D" w:rsidRDefault="00F03553" w:rsidP="008E7F6E">
            <w:pPr>
              <w:spacing w:after="60" w:line="259" w:lineRule="auto"/>
              <w:ind w:firstLine="0"/>
            </w:pPr>
            <w:r w:rsidRPr="0034390D">
              <w:rPr>
                <w:b/>
                <w:bCs/>
              </w:rPr>
              <w:t>Fungal</w:t>
            </w:r>
          </w:p>
        </w:tc>
        <w:tc>
          <w:tcPr>
            <w:tcW w:w="0" w:type="auto"/>
            <w:hideMark/>
          </w:tcPr>
          <w:p w14:paraId="17FAC9AB" w14:textId="77777777" w:rsidR="00F03553" w:rsidRPr="0034390D" w:rsidRDefault="00F03553" w:rsidP="008E7F6E">
            <w:pPr>
              <w:spacing w:after="60" w:line="259" w:lineRule="auto"/>
              <w:ind w:firstLine="0"/>
            </w:pPr>
            <w:r w:rsidRPr="0034390D">
              <w:t>~1.5M – 3.8M deaths/year</w:t>
            </w:r>
          </w:p>
        </w:tc>
        <w:tc>
          <w:tcPr>
            <w:tcW w:w="0" w:type="auto"/>
            <w:hideMark/>
          </w:tcPr>
          <w:p w14:paraId="0B1754C7" w14:textId="77777777" w:rsidR="00F03553" w:rsidRPr="0034390D" w:rsidRDefault="00F03553" w:rsidP="008E7F6E">
            <w:pPr>
              <w:spacing w:after="60" w:line="259" w:lineRule="auto"/>
              <w:ind w:firstLine="0"/>
            </w:pPr>
            <w:r w:rsidRPr="0034390D">
              <w:rPr>
                <w:b/>
                <w:bCs/>
              </w:rPr>
              <w:t>~$100M–$500M (very rough, fragmented, underfunded)</w:t>
            </w:r>
          </w:p>
        </w:tc>
        <w:tc>
          <w:tcPr>
            <w:tcW w:w="0" w:type="auto"/>
            <w:hideMark/>
          </w:tcPr>
          <w:p w14:paraId="191C1DDA" w14:textId="77777777" w:rsidR="00F03553" w:rsidRPr="0034390D" w:rsidRDefault="00F03553" w:rsidP="008E7F6E">
            <w:pPr>
              <w:spacing w:after="60" w:line="259" w:lineRule="auto"/>
              <w:ind w:firstLine="0"/>
            </w:pPr>
            <w:r w:rsidRPr="0034390D">
              <w:t xml:space="preserve">Mortality: </w:t>
            </w:r>
            <w:r w:rsidRPr="0034390D">
              <w:br/>
              <w:t xml:space="preserve">Funding context: neglected disease funding ~$4.17B total but overwhelmingly not fungal </w:t>
            </w:r>
          </w:p>
        </w:tc>
      </w:tr>
      <w:tr w:rsidR="00F03553" w:rsidRPr="0034390D" w14:paraId="509515D3" w14:textId="77777777" w:rsidTr="00FC5E83">
        <w:tc>
          <w:tcPr>
            <w:tcW w:w="0" w:type="auto"/>
            <w:hideMark/>
          </w:tcPr>
          <w:p w14:paraId="54C0843F" w14:textId="77777777" w:rsidR="00F03553" w:rsidRPr="0034390D" w:rsidRDefault="00F03553" w:rsidP="008E7F6E">
            <w:pPr>
              <w:spacing w:after="60" w:line="259" w:lineRule="auto"/>
              <w:ind w:firstLine="0"/>
            </w:pPr>
            <w:r w:rsidRPr="0034390D">
              <w:rPr>
                <w:b/>
                <w:bCs/>
              </w:rPr>
              <w:t>Bacterial</w:t>
            </w:r>
          </w:p>
        </w:tc>
        <w:tc>
          <w:tcPr>
            <w:tcW w:w="0" w:type="auto"/>
            <w:hideMark/>
          </w:tcPr>
          <w:p w14:paraId="789E4AC9" w14:textId="77777777" w:rsidR="00F03553" w:rsidRPr="0034390D" w:rsidRDefault="00F03553" w:rsidP="008E7F6E">
            <w:pPr>
              <w:spacing w:after="60" w:line="259" w:lineRule="auto"/>
              <w:ind w:firstLine="0"/>
            </w:pPr>
            <w:r w:rsidRPr="0034390D">
              <w:t>~7.7M deaths/year</w:t>
            </w:r>
          </w:p>
        </w:tc>
        <w:tc>
          <w:tcPr>
            <w:tcW w:w="0" w:type="auto"/>
            <w:hideMark/>
          </w:tcPr>
          <w:p w14:paraId="6BA8026B" w14:textId="77777777" w:rsidR="00F03553" w:rsidRPr="0034390D" w:rsidRDefault="00F03553" w:rsidP="008E7F6E">
            <w:pPr>
              <w:spacing w:after="60" w:line="259" w:lineRule="auto"/>
              <w:ind w:firstLine="0"/>
            </w:pPr>
            <w:r w:rsidRPr="0034390D">
              <w:rPr>
                <w:b/>
                <w:bCs/>
              </w:rPr>
              <w:t>~$1B–$3B+ (AMR + bacterial infection R&amp;D)</w:t>
            </w:r>
          </w:p>
        </w:tc>
        <w:tc>
          <w:tcPr>
            <w:tcW w:w="0" w:type="auto"/>
            <w:hideMark/>
          </w:tcPr>
          <w:p w14:paraId="2771B763" w14:textId="77777777" w:rsidR="00F03553" w:rsidRPr="0034390D" w:rsidRDefault="00F03553" w:rsidP="008E7F6E">
            <w:pPr>
              <w:spacing w:after="60" w:line="259" w:lineRule="auto"/>
              <w:ind w:firstLine="0"/>
            </w:pPr>
            <w:r w:rsidRPr="0034390D">
              <w:t xml:space="preserve">Mortality: </w:t>
            </w:r>
            <w:r w:rsidRPr="0034390D">
              <w:br/>
              <w:t xml:space="preserve">AMR burden + funding priority context: </w:t>
            </w:r>
          </w:p>
        </w:tc>
      </w:tr>
      <w:tr w:rsidR="00F03553" w:rsidRPr="0034390D" w14:paraId="3C812836" w14:textId="77777777" w:rsidTr="00FC5E83">
        <w:tc>
          <w:tcPr>
            <w:tcW w:w="0" w:type="auto"/>
            <w:hideMark/>
          </w:tcPr>
          <w:p w14:paraId="027316B9" w14:textId="77777777" w:rsidR="00F03553" w:rsidRPr="0034390D" w:rsidRDefault="00F03553" w:rsidP="008E7F6E">
            <w:pPr>
              <w:spacing w:after="60" w:line="259" w:lineRule="auto"/>
              <w:ind w:firstLine="0"/>
            </w:pPr>
            <w:r w:rsidRPr="0034390D">
              <w:rPr>
                <w:b/>
                <w:bCs/>
              </w:rPr>
              <w:t>Viral</w:t>
            </w:r>
          </w:p>
        </w:tc>
        <w:tc>
          <w:tcPr>
            <w:tcW w:w="0" w:type="auto"/>
            <w:hideMark/>
          </w:tcPr>
          <w:p w14:paraId="143B6D3C" w14:textId="77777777" w:rsidR="00F03553" w:rsidRPr="0034390D" w:rsidRDefault="00F03553" w:rsidP="008E7F6E">
            <w:pPr>
              <w:spacing w:after="60" w:line="259" w:lineRule="auto"/>
              <w:ind w:firstLine="0"/>
            </w:pPr>
            <w:r w:rsidRPr="0034390D">
              <w:t xml:space="preserve">~2–4M/year baseline (non-pandemic) </w:t>
            </w:r>
            <w:r w:rsidRPr="0034390D">
              <w:br/>
              <w:t>(can exceed 8M in pandemics)</w:t>
            </w:r>
          </w:p>
        </w:tc>
        <w:tc>
          <w:tcPr>
            <w:tcW w:w="0" w:type="auto"/>
            <w:hideMark/>
          </w:tcPr>
          <w:p w14:paraId="46DA48DA" w14:textId="77777777" w:rsidR="00F03553" w:rsidRPr="0034390D" w:rsidRDefault="00F03553" w:rsidP="008E7F6E">
            <w:pPr>
              <w:spacing w:after="60" w:line="259" w:lineRule="auto"/>
              <w:ind w:firstLine="0"/>
            </w:pPr>
            <w:r w:rsidRPr="0034390D">
              <w:rPr>
                <w:b/>
                <w:bCs/>
              </w:rPr>
              <w:t>~$3B–$10B+ (highly variable; COVID spike drove peaks)</w:t>
            </w:r>
          </w:p>
        </w:tc>
        <w:tc>
          <w:tcPr>
            <w:tcW w:w="0" w:type="auto"/>
            <w:hideMark/>
          </w:tcPr>
          <w:p w14:paraId="3F29AA90" w14:textId="77777777" w:rsidR="00F03553" w:rsidRPr="0034390D" w:rsidRDefault="00F03553" w:rsidP="008E7F6E">
            <w:pPr>
              <w:spacing w:after="60" w:line="259" w:lineRule="auto"/>
              <w:ind w:firstLine="0"/>
            </w:pPr>
            <w:r w:rsidRPr="0034390D">
              <w:t xml:space="preserve">Mortality (aggregate baseline + pandemic variability): </w:t>
            </w:r>
            <w:r w:rsidRPr="0034390D">
              <w:br/>
              <w:t xml:space="preserve">Funding </w:t>
            </w:r>
            <w:proofErr w:type="gramStart"/>
            <w:r w:rsidRPr="0034390D">
              <w:t>totals global health</w:t>
            </w:r>
            <w:proofErr w:type="gramEnd"/>
            <w:r w:rsidRPr="0034390D">
              <w:t xml:space="preserve"> R&amp;D ~$8.7B with heavy viral allocation (HIV, COVID): </w:t>
            </w:r>
          </w:p>
        </w:tc>
      </w:tr>
    </w:tbl>
    <w:p w14:paraId="41F0678C" w14:textId="77777777" w:rsidR="00F03553" w:rsidRDefault="00F03553" w:rsidP="008E7F6E">
      <w:pPr>
        <w:spacing w:after="60"/>
        <w:ind w:firstLine="0"/>
      </w:pPr>
    </w:p>
    <w:p w14:paraId="3EC14E16" w14:textId="77777777" w:rsidR="00F03553" w:rsidRDefault="00F03553" w:rsidP="008E7F6E">
      <w:pPr>
        <w:spacing w:after="60"/>
        <w:ind w:firstLine="0"/>
      </w:pPr>
      <w:r>
        <w:t>Fungi were first noted to cause disease in 1835. The germ theory of Pasteur and Koch dominated the second half of that century. Fungi were not the priority. By the early 20</w:t>
      </w:r>
      <w:r w:rsidRPr="001A05BE">
        <w:rPr>
          <w:vertAlign w:val="superscript"/>
        </w:rPr>
        <w:t>th</w:t>
      </w:r>
      <w:r>
        <w:t xml:space="preserve"> century, histoplasmosis, coccidioidomycosis, and blastomycosis were identified.  This is when medicine first gave note that fungi can infect internal organs. By the mid-20</w:t>
      </w:r>
      <w:r w:rsidRPr="00E17553">
        <w:rPr>
          <w:vertAlign w:val="superscript"/>
        </w:rPr>
        <w:t>th</w:t>
      </w:r>
      <w:r>
        <w:t xml:space="preserve"> century, suddenly candidiasis and aspergillosis become a major cause of death – </w:t>
      </w:r>
      <w:proofErr w:type="gramStart"/>
      <w:r>
        <w:t>subsequent to</w:t>
      </w:r>
      <w:proofErr w:type="gramEnd"/>
      <w:r>
        <w:t xml:space="preserve"> the introduction of antibiotics in scale.  These organisms were here, but they were not causing deaths until after antibiotics were developed - drugs designed to target the ecology of the internal biome. Clearly, while not the sole factor, w</w:t>
      </w:r>
      <w:r w:rsidRPr="00E17553">
        <w:t>idespread antibiotic use contributed to increased fungal disease</w:t>
      </w:r>
      <w:r>
        <w:t>. Yet, it remained deprioritized in funding.</w:t>
      </w:r>
    </w:p>
    <w:p w14:paraId="18DD6EDF" w14:textId="77777777" w:rsidR="00F03553" w:rsidRDefault="00F03553" w:rsidP="008E7F6E">
      <w:pPr>
        <w:spacing w:after="60"/>
        <w:ind w:firstLine="0"/>
      </w:pPr>
      <w:r>
        <w:t xml:space="preserve">In 2022, the World Health Organization issued their very first list of fungal priority pathogens. Notably, </w:t>
      </w:r>
      <w:r w:rsidRPr="0034390D">
        <w:rPr>
          <w:i/>
          <w:iCs/>
        </w:rPr>
        <w:t>c. albicans</w:t>
      </w:r>
      <w:r>
        <w:t xml:space="preserve"> is listed in the Critical Priority Grouping – last but it is in there. They note, “</w:t>
      </w:r>
      <w:r w:rsidRPr="001A05BE">
        <w:t>Tackling the problems posed by IFD will require increased research funding, targeted at the key priorities, new antifungal medicines and improved diagnostics.</w:t>
      </w:r>
      <w:r>
        <w:t>” This is the hunt and kill approach. Commensal didn’t mean you shouldn’t nuke it. It’s just a bug. Squish it.</w:t>
      </w:r>
    </w:p>
    <w:p w14:paraId="01F3226E" w14:textId="3860287D" w:rsidR="00F03553" w:rsidRDefault="00F03553" w:rsidP="008E7F6E">
      <w:pPr>
        <w:spacing w:after="60"/>
        <w:ind w:firstLine="0"/>
      </w:pPr>
      <w:r>
        <w:t>Except it isn’t just a bug, is it? The</w:t>
      </w:r>
      <w:r w:rsidRPr="008E7F6E">
        <w:rPr>
          <w:i/>
          <w:iCs/>
        </w:rPr>
        <w:t xml:space="preserve"> </w:t>
      </w:r>
      <w:r w:rsidR="008E7F6E" w:rsidRPr="008E7F6E">
        <w:rPr>
          <w:i/>
          <w:iCs/>
        </w:rPr>
        <w:t>C</w:t>
      </w:r>
      <w:r w:rsidRPr="008E7F6E">
        <w:rPr>
          <w:i/>
          <w:iCs/>
        </w:rPr>
        <w:t>. al</w:t>
      </w:r>
      <w:r w:rsidRPr="00F41DDB">
        <w:rPr>
          <w:i/>
          <w:iCs/>
        </w:rPr>
        <w:t>bicans</w:t>
      </w:r>
      <w:r>
        <w:t xml:space="preserve"> toolkit is rich. This author can explain it to you as no one else can, if there is a knob,</w:t>
      </w:r>
      <w:r w:rsidRPr="008E7F6E">
        <w:rPr>
          <w:i/>
          <w:iCs/>
        </w:rPr>
        <w:t xml:space="preserve"> </w:t>
      </w:r>
      <w:r w:rsidR="008E7F6E" w:rsidRPr="008E7F6E">
        <w:rPr>
          <w:i/>
          <w:iCs/>
        </w:rPr>
        <w:t>C</w:t>
      </w:r>
      <w:r w:rsidRPr="008E7F6E">
        <w:t xml:space="preserve">. </w:t>
      </w:r>
      <w:proofErr w:type="gramStart"/>
      <w:r w:rsidRPr="003F5E1B">
        <w:rPr>
          <w:i/>
          <w:iCs/>
        </w:rPr>
        <w:t>albicans</w:t>
      </w:r>
      <w:proofErr w:type="gramEnd"/>
      <w:r>
        <w:t xml:space="preserve"> can turn it.</w:t>
      </w:r>
    </w:p>
    <w:p w14:paraId="677C7906" w14:textId="77777777" w:rsidR="00F03553" w:rsidRDefault="00F03553" w:rsidP="008E7F6E">
      <w:pPr>
        <w:spacing w:after="60"/>
        <w:ind w:firstLine="0"/>
      </w:pPr>
      <w:r>
        <w:lastRenderedPageBreak/>
        <w:t xml:space="preserve">But, in 1964, the </w:t>
      </w:r>
      <w:proofErr w:type="spellStart"/>
      <w:r>
        <w:t>worlds</w:t>
      </w:r>
      <w:proofErr w:type="spellEnd"/>
      <w:r>
        <w:t xml:space="preserve"> leading </w:t>
      </w:r>
      <w:proofErr w:type="spellStart"/>
      <w:r>
        <w:t>mcyologists</w:t>
      </w:r>
      <w:proofErr w:type="spellEnd"/>
      <w:r>
        <w:t xml:space="preserve"> got together and agreed – </w:t>
      </w:r>
      <w:r>
        <w:rPr>
          <w:i/>
          <w:iCs/>
        </w:rPr>
        <w:t>C</w:t>
      </w:r>
      <w:r w:rsidRPr="00DF5FC1">
        <w:rPr>
          <w:i/>
          <w:iCs/>
        </w:rPr>
        <w:t>. albicans</w:t>
      </w:r>
      <w:r>
        <w:t xml:space="preserve"> was an opportunistic pathogen, nothing more. It had a high fatality, and “could diagnose better than a clinician.” Yes, that line is literally from the handbook for the First Symposium on it in 1964. Everyone was told to kill it. No need to look further, this is pure pathogenicity. Of course, it’s in everyone and NOT killing them – but if it shows up on a test, that means kill it. The logic is astounding. Bees sting. If we kill all the bees, where are we?</w:t>
      </w:r>
    </w:p>
    <w:p w14:paraId="2D3BDBAF" w14:textId="5BFE0CFD" w:rsidR="00F03553" w:rsidRDefault="00F03553" w:rsidP="008E7F6E">
      <w:pPr>
        <w:spacing w:after="60"/>
        <w:ind w:firstLine="0"/>
      </w:pPr>
      <w:r>
        <w:t xml:space="preserve">The attention “gap” exists at all levels </w:t>
      </w:r>
      <w:proofErr w:type="gramStart"/>
      <w:r>
        <w:t>from institutional concern,</w:t>
      </w:r>
      <w:proofErr w:type="gramEnd"/>
      <w:r>
        <w:t xml:space="preserve"> to bench funding, to journal scope, medical education, and clinical encounter. The knowledge gap is even wider. My clinician at the Cleveland Clinic said he tells his residents they “get more stupid each year, but that’s ok.”  The knowledge is siloed by the current system, almost by design. </w:t>
      </w:r>
    </w:p>
    <w:p w14:paraId="6C67A6C2" w14:textId="36F56DD0" w:rsidR="00F03553" w:rsidRDefault="00F03553" w:rsidP="008E7F6E">
      <w:pPr>
        <w:spacing w:after="60"/>
        <w:ind w:firstLine="0"/>
      </w:pPr>
      <w:r w:rsidRPr="00263E75">
        <w:t xml:space="preserve">I had the same PCP for 30 years. I told him the exact name of my condition and tried to describe it for decades. </w:t>
      </w:r>
      <w:r w:rsidR="008E7F6E">
        <w:t xml:space="preserve">Over the decades, </w:t>
      </w:r>
      <w:r w:rsidRPr="00263E75">
        <w:t xml:space="preserve">I went </w:t>
      </w:r>
      <w:r w:rsidR="008E7F6E">
        <w:t xml:space="preserve">to </w:t>
      </w:r>
      <w:r w:rsidRPr="00263E75">
        <w:t>just about every specialty</w:t>
      </w:r>
      <w:r w:rsidR="008E7F6E">
        <w:t xml:space="preserve"> multiple </w:t>
      </w:r>
      <w:proofErr w:type="gramStart"/>
      <w:r w:rsidR="008E7F6E">
        <w:t>times</w:t>
      </w:r>
      <w:proofErr w:type="gramEnd"/>
      <w:r w:rsidRPr="00263E75">
        <w:t xml:space="preserve"> except endocrinology. Why skip that one, you ask? I didn't skip it. I request</w:t>
      </w:r>
      <w:r w:rsidR="008E7F6E">
        <w:t>ed</w:t>
      </w:r>
      <w:r w:rsidRPr="00263E75">
        <w:t xml:space="preserve"> it for years, decades. I got </w:t>
      </w:r>
      <w:proofErr w:type="gramStart"/>
      <w:r w:rsidRPr="00263E75">
        <w:t>one</w:t>
      </w:r>
      <w:proofErr w:type="gramEnd"/>
      <w:r w:rsidRPr="00263E75">
        <w:t xml:space="preserve"> appointment with a diabetic endocrinologist. That's what specialization does.</w:t>
      </w:r>
      <w:r>
        <w:t xml:space="preserve"> O</w:t>
      </w:r>
      <w:r w:rsidRPr="005A45A6">
        <w:t>ver the last 4 years, I tried again</w:t>
      </w:r>
      <w:r>
        <w:t xml:space="preserve"> (</w:t>
      </w:r>
      <w:r w:rsidRPr="005A45A6">
        <w:t>unsuccessfully</w:t>
      </w:r>
      <w:r>
        <w:t xml:space="preserve">) </w:t>
      </w:r>
      <w:r w:rsidRPr="005A45A6">
        <w:t xml:space="preserve">to get an endocrinology referral, despite my symptoms.  They </w:t>
      </w:r>
      <w:r w:rsidR="008E7F6E" w:rsidRPr="005A45A6">
        <w:t>were “</w:t>
      </w:r>
      <w:r w:rsidRPr="005A45A6">
        <w:t>clearly not endocrin</w:t>
      </w:r>
      <w:r>
        <w:t>e-related.</w:t>
      </w:r>
      <w:r w:rsidR="008E7F6E">
        <w:t>”</w:t>
      </w:r>
      <w:r>
        <w:t xml:space="preserve"> My tests were fine, after all.  CMP, </w:t>
      </w:r>
      <w:r w:rsidR="008E7F6E">
        <w:t>CBC</w:t>
      </w:r>
      <w:r>
        <w:t>, thyroid, all checked out.</w:t>
      </w:r>
      <w:r w:rsidR="008E7F6E">
        <w:t xml:space="preserve"> My Autoimmune panel? Peachy. Normal range.</w:t>
      </w:r>
    </w:p>
    <w:p w14:paraId="5F7546AD" w14:textId="5AD7D735" w:rsidR="00F03553" w:rsidRDefault="008E7F6E" w:rsidP="008E7F6E">
      <w:pPr>
        <w:spacing w:after="60"/>
        <w:ind w:firstLine="0"/>
      </w:pPr>
      <w:r w:rsidRPr="008E7F6E">
        <w:rPr>
          <w:i/>
          <w:iCs/>
        </w:rPr>
        <w:t>C. albicans</w:t>
      </w:r>
      <w:r>
        <w:t xml:space="preserve"> is a</w:t>
      </w:r>
      <w:r w:rsidR="00F03553">
        <w:t xml:space="preserve"> pathogen that operates in everyone’s territory but is never looked at in a systems thinker’s approach. There isn’t a box in anyone’s system that </w:t>
      </w:r>
      <w:proofErr w:type="gramStart"/>
      <w:r w:rsidR="00F03553">
        <w:t>says</w:t>
      </w:r>
      <w:proofErr w:type="gramEnd"/>
      <w:r w:rsidR="00F03553">
        <w:t xml:space="preserve"> “ecological imbalance causing symbiotic dissonance.” Here is a test: Go to your clinician and ask him if he knows that the Na/K pump is? Hopefully, they get that part right. Then ask them how it works. If they make it past that, ask them if it can go in reverse. My personal experience walking in with items 1, and 2, given that starting point, they will still always get 3 incorrect and look at you like you are nuts.</w:t>
      </w:r>
    </w:p>
    <w:p w14:paraId="312551C3" w14:textId="325B3FEE" w:rsidR="00F03553" w:rsidRPr="00DF5FC1" w:rsidRDefault="0048689D" w:rsidP="008E7F6E">
      <w:pPr>
        <w:spacing w:after="60"/>
        <w:ind w:firstLine="0"/>
      </w:pPr>
      <w:r>
        <w:t xml:space="preserve">They can </w:t>
      </w:r>
      <w:r w:rsidR="00324D02">
        <w:t xml:space="preserve">remove </w:t>
      </w:r>
      <w:r w:rsidR="00994ED6">
        <w:t>t</w:t>
      </w:r>
      <w:r>
        <w:t xml:space="preserve">he </w:t>
      </w:r>
      <w:r w:rsidRPr="00A93DCE">
        <w:t xml:space="preserve">archaic clinical literature term </w:t>
      </w:r>
      <w:r>
        <w:t>“</w:t>
      </w:r>
      <w:r w:rsidRPr="00A93DCE">
        <w:t>hypophyseal failure</w:t>
      </w:r>
      <w:r>
        <w:t xml:space="preserve">” </w:t>
      </w:r>
      <w:r w:rsidR="00324D02">
        <w:t xml:space="preserve">implicating it as </w:t>
      </w:r>
      <w:r>
        <w:t xml:space="preserve">“hypopituitarism.” </w:t>
      </w:r>
      <w:r w:rsidRPr="00A93DCE">
        <w:t xml:space="preserve"> </w:t>
      </w:r>
      <w:r w:rsidR="00324D02">
        <w:t xml:space="preserve">Those </w:t>
      </w:r>
      <w:r w:rsidR="00994ED6">
        <w:t xml:space="preserve">really </w:t>
      </w:r>
      <w:r w:rsidR="00324D02">
        <w:t xml:space="preserve">don’t mean the same thing.  </w:t>
      </w:r>
      <w:r w:rsidR="00F03553">
        <w:t>The organism keeps on computing</w:t>
      </w:r>
      <w:r w:rsidR="00324D02">
        <w:t xml:space="preserve"> either way</w:t>
      </w:r>
      <w:r w:rsidR="00F03553">
        <w:t>.</w:t>
      </w:r>
    </w:p>
    <w:p w14:paraId="5F6A3FB5" w14:textId="12A4CD96" w:rsidR="00303C34" w:rsidRDefault="00556297" w:rsidP="008E7F6E">
      <w:pPr>
        <w:pStyle w:val="Heading2"/>
        <w:spacing w:after="60"/>
      </w:pPr>
      <w:r>
        <w:t xml:space="preserve">9.3 </w:t>
      </w:r>
      <w:r w:rsidR="006C3A6A">
        <w:t>Ethical Implications of the Redaction</w:t>
      </w:r>
    </w:p>
    <w:p w14:paraId="0A1AF52C" w14:textId="0EBA429F" w:rsidR="00303C34" w:rsidRDefault="006C3A6A" w:rsidP="008E7F6E">
      <w:pPr>
        <w:spacing w:after="60"/>
        <w:ind w:firstLine="0"/>
      </w:pPr>
      <w:r>
        <w:t xml:space="preserve">The suppression of the original research documenting this </w:t>
      </w:r>
      <w:r w:rsidR="00DD6777">
        <w:t>coevolution</w:t>
      </w:r>
      <w:r>
        <w:t xml:space="preserve">ary architecture, specifically the “redaction” described in </w:t>
      </w:r>
      <w:r w:rsidR="00A339A8">
        <w:t>(</w:t>
      </w:r>
      <w:r>
        <w:t>Craddock</w:t>
      </w:r>
      <w:r w:rsidR="00A339A8">
        <w:t xml:space="preserve">, </w:t>
      </w:r>
      <w:r w:rsidR="009B06E6">
        <w:t>2026c)</w:t>
      </w:r>
      <w:r>
        <w:t>, raises ethical questions that extend far beyond a single retracted article.</w:t>
      </w:r>
    </w:p>
    <w:p w14:paraId="0CA129C6" w14:textId="77777777" w:rsidR="00556297" w:rsidRDefault="006C3A6A" w:rsidP="008E7F6E">
      <w:pPr>
        <w:spacing w:after="60"/>
        <w:ind w:firstLine="0"/>
      </w:pPr>
      <w:r>
        <w:t xml:space="preserve">The redaction suppressed not merely a clinical observation but the existence of a functionally distinct human phenotype. If </w:t>
      </w:r>
      <w:r>
        <w:rPr>
          <w:i/>
          <w:iCs/>
        </w:rPr>
        <w:t>Homo candidus</w:t>
      </w:r>
      <w:r>
        <w:t xml:space="preserve"> is real, then every person currently living with undiagnosed symbiont activation is being treated </w:t>
      </w:r>
      <w:proofErr w:type="gramStart"/>
      <w:r>
        <w:t>for</w:t>
      </w:r>
      <w:proofErr w:type="gramEnd"/>
      <w:r>
        <w:t xml:space="preserve"> a pathology that is </w:t>
      </w:r>
      <w:proofErr w:type="gramStart"/>
      <w:r>
        <w:t>actually an</w:t>
      </w:r>
      <w:proofErr w:type="gramEnd"/>
      <w:r>
        <w:t xml:space="preserve"> architecture. They are being medicated out of a phenotype that, in the appropriate social context, would be producing the most valuable cognitive output in their community. This is not a missed diagnosis; it is </w:t>
      </w:r>
      <w:proofErr w:type="gramStart"/>
      <w:r>
        <w:t>an active</w:t>
      </w:r>
      <w:proofErr w:type="gramEnd"/>
      <w:r>
        <w:t xml:space="preserve"> harm.</w:t>
      </w:r>
    </w:p>
    <w:p w14:paraId="7167A45A" w14:textId="7339D4AF" w:rsidR="00303C34" w:rsidRDefault="006C3A6A" w:rsidP="008E7F6E">
      <w:pPr>
        <w:spacing w:after="60"/>
        <w:ind w:firstLine="0"/>
      </w:pPr>
      <w:r>
        <w:t xml:space="preserve">The understanding that the ECS serves as an inter-kingdom communication interface has implications extending across medicine: diabetes management (the historical cohort maintained normal blood glucose despite blocked insulin pathways), renal medicine (the host compensated for kidney damage through alternative filtration routes for over 30 years), and the broad category of conditions currently classified as idiopathic, including those attributed to ECS dysregulation or other directly related systems, more specifically the endocrine system in all its axes, the gut-brain axis, and immune modulation. The ECS does not operate in isolation; it interfaces with every major regulatory system in the body. Disruption of the ECS-mediated symbiotic </w:t>
      </w:r>
      <w:r>
        <w:lastRenderedPageBreak/>
        <w:t>architecture could manifest as autoimmune dysregulation, endocrine imbalance, gastrointestinal dysfunction, or neurological disorder, depending on which aspect of the interface is most affected.</w:t>
      </w:r>
    </w:p>
    <w:p w14:paraId="30190D14" w14:textId="77777777" w:rsidR="00303C34" w:rsidRDefault="006C3A6A" w:rsidP="008E7F6E">
      <w:pPr>
        <w:spacing w:after="60"/>
        <w:ind w:firstLine="0"/>
      </w:pPr>
      <w:r>
        <w:t>The ethical argument against suppression is straightforward: the potential medical value of understanding this architecture vastly outweighs the ethical discomfort associated with the knowledge that human physiology can be deliberately altered through symbiont activation. Science has historically managed dangerous knowledge through regulation, not erasure. The decision to redact the original research was a decision to erase knowledge of a human variant from the scientific record.</w:t>
      </w:r>
    </w:p>
    <w:p w14:paraId="695D65CC" w14:textId="7AFB52B4" w:rsidR="00F812E6" w:rsidRDefault="00F812E6" w:rsidP="008E7F6E">
      <w:pPr>
        <w:pStyle w:val="BodyText"/>
        <w:spacing w:before="0" w:after="60"/>
        <w:ind w:firstLine="0"/>
      </w:pPr>
      <w:r>
        <w:t>The implications are stark, if a person can achieve a normal existence with a 30+ year survival despite fundamentally altered physiology with no substantial medical intervention, while having normal lab and imaging test results for almost that entire period and having only the basic idea (and completely unsupported by any externality) of the changes taking place, a question must be asked – how long can this state be maintained?</w:t>
      </w:r>
    </w:p>
    <w:p w14:paraId="4C177FD2" w14:textId="3BE66202" w:rsidR="00303C34" w:rsidRDefault="00F812E6" w:rsidP="00324D02">
      <w:pPr>
        <w:pStyle w:val="BodyText"/>
        <w:ind w:left="720" w:right="720"/>
      </w:pPr>
      <w:r w:rsidRPr="00F812E6">
        <w:rPr>
          <w:i/>
          <w:iCs/>
        </w:rPr>
        <w:t>So yeah, I</w:t>
      </w:r>
      <w:r w:rsidR="00DF6124">
        <w:rPr>
          <w:i/>
          <w:iCs/>
        </w:rPr>
        <w:t>’</w:t>
      </w:r>
      <w:r w:rsidRPr="00F812E6">
        <w:rPr>
          <w:i/>
          <w:iCs/>
        </w:rPr>
        <w:t>m alive because I got lucky with a few insights. But what if someone had all the knowledge? What if someone walked into this with a blueprint? How long could they live then? Could they manage this for more than the three decades I did? A normal lifespan, maybe? That would be almost evolutionary</w:t>
      </w:r>
      <w:r>
        <w:rPr>
          <w:i/>
          <w:iCs/>
        </w:rPr>
        <w:t>”</w:t>
      </w:r>
      <w:r w:rsidRPr="00F812E6">
        <w:rPr>
          <w:i/>
          <w:iCs/>
        </w:rPr>
        <w:t>.</w:t>
      </w:r>
      <w:r>
        <w:rPr>
          <w:i/>
          <w:iCs/>
        </w:rPr>
        <w:t xml:space="preserve"> </w:t>
      </w:r>
      <w:r w:rsidRPr="00DF6124">
        <w:t xml:space="preserve">(Craddock, </w:t>
      </w:r>
      <w:r w:rsidR="009B06E6">
        <w:t>2026c)</w:t>
      </w:r>
      <w:r w:rsidR="00000000">
        <w:pict w14:anchorId="73F71F82">
          <v:rect id="_x0000_i1342" style="width:0;height:1.5pt" o:hralign="center" o:hrstd="t" o:hr="t"/>
        </w:pict>
      </w:r>
    </w:p>
    <w:p w14:paraId="3C8F8709" w14:textId="77777777" w:rsidR="00303C34" w:rsidRDefault="006C3A6A">
      <w:pPr>
        <w:pStyle w:val="Heading1"/>
      </w:pPr>
      <w:bookmarkStart w:id="43" w:name="discussion"/>
      <w:bookmarkEnd w:id="40"/>
      <w:bookmarkEnd w:id="42"/>
      <w:r>
        <w:t>10. Discussion</w:t>
      </w:r>
    </w:p>
    <w:p w14:paraId="693C45C0" w14:textId="77777777" w:rsidR="00303C34" w:rsidRDefault="006C3A6A">
      <w:pPr>
        <w:pStyle w:val="Heading2"/>
      </w:pPr>
      <w:bookmarkStart w:id="44" w:name="testable-predictions"/>
      <w:r>
        <w:t>10.1 Testable Predictions</w:t>
      </w:r>
    </w:p>
    <w:p w14:paraId="484CBCA7" w14:textId="77777777" w:rsidR="00303C34" w:rsidRDefault="006C3A6A">
      <w:pPr>
        <w:pStyle w:val="FirstParagraph"/>
      </w:pPr>
      <w:r>
        <w:t>The Saline Oscillation Hypothesis generates several testable predictions:</w:t>
      </w:r>
    </w:p>
    <w:p w14:paraId="42EE2DB5" w14:textId="77777777" w:rsidR="00303C34" w:rsidRDefault="006C3A6A">
      <w:pPr>
        <w:numPr>
          <w:ilvl w:val="0"/>
          <w:numId w:val="6"/>
        </w:numPr>
      </w:pPr>
      <w:proofErr w:type="spellStart"/>
      <w:r>
        <w:rPr>
          <w:b/>
          <w:bCs/>
        </w:rPr>
        <w:t>Paleochemical</w:t>
      </w:r>
      <w:proofErr w:type="spellEnd"/>
      <w:r>
        <w:rPr>
          <w:b/>
          <w:bCs/>
        </w:rPr>
        <w:t xml:space="preserve"> analysis</w:t>
      </w:r>
      <w:r>
        <w:t xml:space="preserve"> of hominid dental enamel and bone from the Turkana Basin should show fluctuating electrolyte and mineral signatures corresponding to known lake salinity cycles.</w:t>
      </w:r>
    </w:p>
    <w:p w14:paraId="465C46D4" w14:textId="016605DB" w:rsidR="00303C34" w:rsidRDefault="006C3A6A">
      <w:pPr>
        <w:numPr>
          <w:ilvl w:val="0"/>
          <w:numId w:val="6"/>
        </w:numPr>
      </w:pPr>
      <w:r>
        <w:rPr>
          <w:b/>
          <w:bCs/>
        </w:rPr>
        <w:t>Comparative cardiac anatomy</w:t>
      </w:r>
      <w:r w:rsidR="00D953B8" w:rsidRPr="00D953B8">
        <w:t xml:space="preserve"> across primates and across postnatal developmental stages should reveal variation in the relative contribution of diastolic suction vs. systolic ejection. The developmental preservation model (Section 8.2) predicts that the suction-to-pump transition is a normal postnatal maturation process; comparative echocardiographic data from neonatal through adult stages across primate species would establish the baseline developmental trajectory against which symbiont-mediated preservation could be assessed.</w:t>
      </w:r>
    </w:p>
    <w:p w14:paraId="5D161731" w14:textId="77777777" w:rsidR="00303C34" w:rsidRDefault="006C3A6A">
      <w:pPr>
        <w:numPr>
          <w:ilvl w:val="0"/>
          <w:numId w:val="6"/>
        </w:numPr>
      </w:pPr>
      <w:r>
        <w:rPr>
          <w:b/>
          <w:bCs/>
        </w:rPr>
        <w:t>Mycobiome analysis</w:t>
      </w:r>
      <w:r>
        <w:t xml:space="preserve"> of populations living near hypersaline lakes in the modern EARS may show distinct </w:t>
      </w:r>
      <w:r>
        <w:rPr>
          <w:i/>
          <w:iCs/>
        </w:rPr>
        <w:t>Candida</w:t>
      </w:r>
      <w:r>
        <w:t xml:space="preserve"> strain distributions or ECS tone profiles compared to populations near freshwater sources.</w:t>
      </w:r>
    </w:p>
    <w:p w14:paraId="3384AD62" w14:textId="77777777" w:rsidR="00303C34" w:rsidRDefault="006C3A6A">
      <w:pPr>
        <w:numPr>
          <w:ilvl w:val="0"/>
          <w:numId w:val="6"/>
        </w:numPr>
      </w:pPr>
      <w:r>
        <w:rPr>
          <w:b/>
          <w:bCs/>
        </w:rPr>
        <w:t>Archaeological evidence</w:t>
      </w:r>
      <w:r>
        <w:t xml:space="preserve"> of salt-seeking behavior, salt processing, or salt storage at hominid sites in the EARS would support the electrolyte-dependence component.</w:t>
      </w:r>
    </w:p>
    <w:p w14:paraId="03FC68BD" w14:textId="77777777" w:rsidR="00303C34" w:rsidRDefault="006C3A6A">
      <w:pPr>
        <w:numPr>
          <w:ilvl w:val="0"/>
          <w:numId w:val="6"/>
        </w:numPr>
      </w:pPr>
      <w:proofErr w:type="spellStart"/>
      <w:r>
        <w:rPr>
          <w:b/>
          <w:bCs/>
        </w:rPr>
        <w:t>Phytocannabinoid</w:t>
      </w:r>
      <w:proofErr w:type="spellEnd"/>
      <w:r>
        <w:rPr>
          <w:b/>
          <w:bCs/>
        </w:rPr>
        <w:t xml:space="preserve"> residue analysis</w:t>
      </w:r>
      <w:r>
        <w:t xml:space="preserve"> at early agricultural sites should be examined for evidence that psychoactive plant cultivation preceded or paralleled caloric crop cultivation.</w:t>
      </w:r>
    </w:p>
    <w:p w14:paraId="054ACFDD" w14:textId="36201E87" w:rsidR="00303C34" w:rsidRDefault="006C3A6A">
      <w:pPr>
        <w:numPr>
          <w:ilvl w:val="0"/>
          <w:numId w:val="6"/>
        </w:numPr>
      </w:pPr>
      <w:r>
        <w:rPr>
          <w:b/>
          <w:bCs/>
        </w:rPr>
        <w:lastRenderedPageBreak/>
        <w:t>Distance running performance</w:t>
      </w:r>
      <w:r>
        <w:t xml:space="preserve"> in Rift Valley populations (particularly the Kalenjin of Kenya) may reflect an ECS architecture refined by the </w:t>
      </w:r>
      <w:r w:rsidR="00DD6777">
        <w:t>coevolution</w:t>
      </w:r>
      <w:r>
        <w:t>ary program; comparative ECS tone profiles between elite East African distance runners and matched non-Rift Valley controls would be informative.</w:t>
      </w:r>
    </w:p>
    <w:p w14:paraId="2215036A" w14:textId="77777777" w:rsidR="00303C34" w:rsidRDefault="006C3A6A">
      <w:pPr>
        <w:numPr>
          <w:ilvl w:val="0"/>
          <w:numId w:val="6"/>
        </w:numPr>
      </w:pPr>
      <w:r>
        <w:rPr>
          <w:b/>
          <w:bCs/>
        </w:rPr>
        <w:t>Molecular dating</w:t>
      </w:r>
      <w:r>
        <w:t xml:space="preserve"> of the </w:t>
      </w:r>
      <w:r>
        <w:rPr>
          <w:i/>
          <w:iCs/>
        </w:rPr>
        <w:t>C. albicans</w:t>
      </w:r>
      <w:r>
        <w:t xml:space="preserve"> / </w:t>
      </w:r>
      <w:r>
        <w:rPr>
          <w:i/>
          <w:iCs/>
        </w:rPr>
        <w:t xml:space="preserve">C. </w:t>
      </w:r>
      <w:proofErr w:type="spellStart"/>
      <w:r>
        <w:rPr>
          <w:i/>
          <w:iCs/>
        </w:rPr>
        <w:t>dubliniensis</w:t>
      </w:r>
      <w:proofErr w:type="spellEnd"/>
      <w:r>
        <w:t xml:space="preserve"> divergence, if resolved to the </w:t>
      </w:r>
      <w:proofErr w:type="spellStart"/>
      <w:r>
        <w:t>Plio</w:t>
      </w:r>
      <w:proofErr w:type="spellEnd"/>
      <w:r>
        <w:t xml:space="preserve">-Pleistocene window (~2–5 Ma), would provide strong independent support for the hypothesis; the directional selection observed in </w:t>
      </w:r>
      <w:r>
        <w:rPr>
          <w:i/>
          <w:iCs/>
        </w:rPr>
        <w:t>C. albicans</w:t>
      </w:r>
      <w:r>
        <w:t xml:space="preserve"> (virulence gene family expansion) versus </w:t>
      </w:r>
      <w:r>
        <w:rPr>
          <w:i/>
          <w:iCs/>
        </w:rPr>
        <w:t xml:space="preserve">C. </w:t>
      </w:r>
      <w:proofErr w:type="spellStart"/>
      <w:r>
        <w:rPr>
          <w:i/>
          <w:iCs/>
        </w:rPr>
        <w:t>dubliniensis</w:t>
      </w:r>
      <w:proofErr w:type="spellEnd"/>
      <w:r>
        <w:t xml:space="preserve"> (reductive evolution) is predicted by the framework.</w:t>
      </w:r>
    </w:p>
    <w:p w14:paraId="1B30C0D8" w14:textId="773D999F" w:rsidR="00303C34" w:rsidRDefault="006C3A6A">
      <w:pPr>
        <w:numPr>
          <w:ilvl w:val="0"/>
          <w:numId w:val="6"/>
        </w:numPr>
      </w:pPr>
      <w:r>
        <w:rPr>
          <w:b/>
          <w:bCs/>
        </w:rPr>
        <w:t>Epigenetic analysis</w:t>
      </w:r>
      <w:r>
        <w:t xml:space="preserve"> of populations in the modern EARS, examining methylation patterns in genes governing electrolyte handling, vascular tone, and ECS regulation, compared with non-Rift Valley populations, could reveal persistent signatures of the </w:t>
      </w:r>
      <w:r w:rsidR="00DD6777">
        <w:t>coevolution</w:t>
      </w:r>
      <w:r>
        <w:t>ary program.</w:t>
      </w:r>
    </w:p>
    <w:p w14:paraId="3862CEF3" w14:textId="2059DA60" w:rsidR="00303C34" w:rsidRPr="00C3060A" w:rsidRDefault="006C3A6A">
      <w:pPr>
        <w:numPr>
          <w:ilvl w:val="0"/>
          <w:numId w:val="6"/>
        </w:numPr>
      </w:pPr>
      <w:r w:rsidRPr="00C3060A">
        <w:rPr>
          <w:b/>
          <w:bCs/>
        </w:rPr>
        <w:t>Phenobarbital-induced symbiont activation.</w:t>
      </w:r>
      <w:r w:rsidRPr="00C3060A">
        <w:t xml:space="preserve"> Exposure of commensal-state </w:t>
      </w:r>
      <w:r w:rsidRPr="00C3060A">
        <w:rPr>
          <w:i/>
          <w:iCs/>
        </w:rPr>
        <w:t>C. albicans</w:t>
      </w:r>
      <w:r w:rsidRPr="00C3060A">
        <w:t xml:space="preserve"> populations to phenobarbital in a simulated gastric environment containing both glucose and a gastric mucosal tissue analog (mucin-coated epithelial cell culture or equivalent substrate) under acidic conditions should produce a measurable shift from yeast-form glucose metabolism to hyphal-form tissue invasion, including upregulation of secreted aspartyl proteases (SAPs), phospholipase activity, and CYP450 enzyme induction. This experiment would test the iatrogenic symbiont activation mechanism proposed in Section 5.1 and is consistent with both the longitudinal case study documentation (Craddock, 2013; </w:t>
      </w:r>
      <w:r w:rsidR="009B06E6">
        <w:t>2026c)</w:t>
      </w:r>
      <w:r w:rsidRPr="00C3060A">
        <w:t xml:space="preserve"> and published case reports of phenobarbital-associated mucosal ulceration at variable anatomical locations.</w:t>
      </w:r>
    </w:p>
    <w:p w14:paraId="41AA07C2" w14:textId="1F67987B" w:rsidR="00303C34" w:rsidRPr="00C3060A" w:rsidRDefault="006C3A6A">
      <w:pPr>
        <w:numPr>
          <w:ilvl w:val="0"/>
          <w:numId w:val="6"/>
        </w:numPr>
      </w:pPr>
      <w:r w:rsidRPr="00C3060A">
        <w:rPr>
          <w:b/>
          <w:bCs/>
        </w:rPr>
        <w:t>Evo 2 computational genomics.</w:t>
      </w:r>
      <w:r w:rsidRPr="00C3060A">
        <w:t xml:space="preserve"> Functional analysis of the approximately 1,300 </w:t>
      </w:r>
      <w:r w:rsidRPr="00C3060A">
        <w:rPr>
          <w:i/>
          <w:iCs/>
        </w:rPr>
        <w:t>C. albicans</w:t>
      </w:r>
      <w:r w:rsidRPr="00C3060A">
        <w:t xml:space="preserve"> genes with no orthologs in other yeast species, using genomic foundation models such as Evo 2 (Arc Institute, 2025) trained across all domains of life, should reveal functional signatures consistent with host-interaction roles, including predicted GPCR ligand production, immune modulation, cross-kingdom signaling capabilities, </w:t>
      </w:r>
      <w:r w:rsidR="000623BE" w:rsidRPr="000623BE">
        <w:t>peptide-processing enzyme homologs, peptide transporter regulatory elements, and neuropeptide-mimicking sequences</w:t>
      </w:r>
      <w:r w:rsidR="000623BE">
        <w:t xml:space="preserve"> </w:t>
      </w:r>
      <w:r w:rsidRPr="00C3060A">
        <w:t xml:space="preserve">that traditional comparative genomics within the fungal kingdom has not resolved. The </w:t>
      </w:r>
      <w:r w:rsidRPr="00C3060A">
        <w:rPr>
          <w:i/>
          <w:iCs/>
        </w:rPr>
        <w:t>C. albicans</w:t>
      </w:r>
      <w:r w:rsidRPr="00C3060A">
        <w:t xml:space="preserve"> genome (approximately 14.3 Mb across 8 chromosomes) exceeds current single-pass context windows but is accessible chromosome by chromosome, with the smallest chromosomes falling within the 1 million token limit of current models. A specific analytical pipeline is proposed: (1) variant effect scoring across all uncharacterized genes to identify positions under functional constraint, (2) extraction and</w:t>
      </w:r>
      <w:r w:rsidR="000623BE" w:rsidRPr="000623BE">
        <w:t xml:space="preserve"> clustered not only against known host-interaction gene families from obligate symbionts but also against mammalian prohormone convertase substrates and neuropeptide precursor architectures</w:t>
      </w:r>
      <w:r w:rsidRPr="00C3060A">
        <w:t xml:space="preserve">, (3) sparse autoencoder feature detection to flag genes with signatures consistent with GPCR ligand production, immune modulation, or quorum sensing, and (4) gene sequence completion to identify genes whose architecture diverges from patterns learned across the training set of 128,000 organisms, suggesting novel functional roles. As context windows expand </w:t>
      </w:r>
      <w:proofErr w:type="gramStart"/>
      <w:r w:rsidRPr="00C3060A">
        <w:t>in</w:t>
      </w:r>
      <w:proofErr w:type="gramEnd"/>
      <w:r w:rsidRPr="00C3060A">
        <w:t xml:space="preserve"> successor models, whole-genome single-pass analysis will become feasible.</w:t>
      </w:r>
    </w:p>
    <w:p w14:paraId="047E084E" w14:textId="77777777" w:rsidR="00C3060A" w:rsidRDefault="006C3A6A" w:rsidP="00C3060A">
      <w:pPr>
        <w:numPr>
          <w:ilvl w:val="0"/>
          <w:numId w:val="6"/>
        </w:numPr>
      </w:pPr>
      <w:r w:rsidRPr="00C3060A">
        <w:rPr>
          <w:b/>
          <w:bCs/>
        </w:rPr>
        <w:t>Cholinergic interface characterization.</w:t>
      </w:r>
      <w:r w:rsidRPr="00C3060A">
        <w:t xml:space="preserve"> The confirmed presence of a functional muscarinic receptor in </w:t>
      </w:r>
      <w:r w:rsidRPr="00C3060A">
        <w:rPr>
          <w:i/>
          <w:iCs/>
        </w:rPr>
        <w:t>C. albicans</w:t>
      </w:r>
      <w:r w:rsidRPr="00C3060A">
        <w:t xml:space="preserve"> (Nile et al., 2018) and the documented elevation of host acetylcholine levels during </w:t>
      </w:r>
      <w:r w:rsidRPr="00C3060A">
        <w:rPr>
          <w:i/>
          <w:iCs/>
        </w:rPr>
        <w:t>Candida</w:t>
      </w:r>
      <w:r w:rsidRPr="00C3060A">
        <w:t xml:space="preserve"> infection suggest that the cholinergic system represents an active bidirectional signaling interface between symbiont and host. </w:t>
      </w:r>
      <w:r w:rsidRPr="00C3060A">
        <w:lastRenderedPageBreak/>
        <w:t xml:space="preserve">Comparative analysis of choline metabolism, acetylcholinesterase activity, and vagal tone in </w:t>
      </w:r>
      <w:r w:rsidRPr="00C3060A">
        <w:rPr>
          <w:i/>
          <w:iCs/>
        </w:rPr>
        <w:t>Candida</w:t>
      </w:r>
      <w:r w:rsidRPr="00C3060A">
        <w:t>-colonized versus germ-free animal models would establish whether this interface contributes to the symbiont’s regulatory influence on host autonomic function.</w:t>
      </w:r>
    </w:p>
    <w:p w14:paraId="3DAE344F" w14:textId="229BA757" w:rsidR="00541D23" w:rsidRPr="00C3060A" w:rsidRDefault="00541D23" w:rsidP="00C3060A">
      <w:pPr>
        <w:numPr>
          <w:ilvl w:val="0"/>
          <w:numId w:val="6"/>
        </w:numPr>
      </w:pPr>
      <w:r w:rsidRPr="00C3060A">
        <w:rPr>
          <w:b/>
          <w:bCs/>
        </w:rPr>
        <w:t>Extracellular vesicle-mediated cross-kingdom RNA transfer.</w:t>
      </w:r>
      <w:r w:rsidRPr="00C3060A">
        <w:rPr>
          <w:b/>
          <w:bCs/>
          <w:i/>
          <w:iCs/>
        </w:rPr>
        <w:t xml:space="preserve"> </w:t>
      </w:r>
      <w:r w:rsidRPr="00C3060A">
        <w:t xml:space="preserve">Purified EVs from </w:t>
      </w:r>
      <w:r w:rsidRPr="00C3060A">
        <w:rPr>
          <w:i/>
          <w:iCs/>
        </w:rPr>
        <w:t>C. albicans</w:t>
      </w:r>
      <w:r w:rsidRPr="00C3060A">
        <w:t xml:space="preserve"> hyphae should be incubated with human epithelial cells and macrophages, followed by small RNA sequencing of the recipient cells to identify </w:t>
      </w:r>
      <w:proofErr w:type="gramStart"/>
      <w:r w:rsidRPr="00C3060A">
        <w:t>fungal-origin</w:t>
      </w:r>
      <w:proofErr w:type="gramEnd"/>
      <w:r w:rsidRPr="00C3060A">
        <w:t xml:space="preserve"> sRNAs that have been internalized. Predicted fungal sRNAs should be cross-referenced against the human transcriptome for potential gene-silencing targets using standard sRNA target prediction algorithms. The prediction from the </w:t>
      </w:r>
      <w:r w:rsidR="00DD6777">
        <w:t>coevolution</w:t>
      </w:r>
      <w:r w:rsidRPr="00C3060A">
        <w:t xml:space="preserve">ary framework: at least a subset of fungal sRNAs delivered via EVs will have sequence complementarity to human immune or metabolic genes, and incubation of host cells with fungal EVs will produce measurable downregulation of predicted target transcripts in a manner attenuated by host AGO knockdown or by treatment with EVs from an ESCRT-deficient </w:t>
      </w:r>
      <w:r w:rsidRPr="00C3060A">
        <w:rPr>
          <w:i/>
          <w:iCs/>
        </w:rPr>
        <w:t>C. albicans</w:t>
      </w:r>
      <w:r w:rsidRPr="00C3060A">
        <w:t xml:space="preserve"> mutant producing fewer vesicles. Additionally, comparison of codon usage in </w:t>
      </w:r>
      <w:r w:rsidRPr="00C3060A">
        <w:rPr>
          <w:i/>
          <w:iCs/>
        </w:rPr>
        <w:t>C. albicans</w:t>
      </w:r>
      <w:r w:rsidRPr="00C3060A">
        <w:t xml:space="preserve"> EV-associated mRNAs against the host codon optimality landscape should reveal whether exported transcripts are more human-optimized than the bulk </w:t>
      </w:r>
      <w:r w:rsidRPr="00C3060A">
        <w:rPr>
          <w:i/>
          <w:iCs/>
        </w:rPr>
        <w:t>C. albicans</w:t>
      </w:r>
      <w:r w:rsidRPr="00C3060A">
        <w:t xml:space="preserve"> transcriptome, consistent with </w:t>
      </w:r>
      <w:r w:rsidR="00DD6777">
        <w:t>coevolution</w:t>
      </w:r>
      <w:r w:rsidRPr="00C3060A">
        <w:t>ary selection for evasion of DHX29-mediated translational surveillance (Hia et al., 2026).</w:t>
      </w:r>
    </w:p>
    <w:p w14:paraId="3532AE1C" w14:textId="77777777" w:rsidR="004F0C55" w:rsidRDefault="00C3060A" w:rsidP="004F0C55">
      <w:pPr>
        <w:numPr>
          <w:ilvl w:val="0"/>
          <w:numId w:val="6"/>
        </w:numPr>
      </w:pPr>
      <w:r w:rsidRPr="004F0C55">
        <w:rPr>
          <w:b/>
          <w:bCs/>
        </w:rPr>
        <w:t>Arachidonic acid competition between prostaglandin and endocannabinoid synthesis:</w:t>
      </w:r>
      <w:r w:rsidRPr="00C3060A">
        <w:t xml:space="preserve"> In colonized mucosal tissue models or ex vivo gut tissue segments harboring </w:t>
      </w:r>
      <w:r w:rsidRPr="004F0C55">
        <w:rPr>
          <w:i/>
          <w:iCs/>
        </w:rPr>
        <w:t>C. albicans</w:t>
      </w:r>
      <w:r w:rsidRPr="00C3060A">
        <w:t xml:space="preserve"> biofilm, levels of PGE₂ and endocannabinoids (AEA, 2-AG) should differ from uncolonized controls in a direction consistent with altered arachidonic acid flux. Specifically, colonized tissue is predicted to show elevated PGE₂ and reduced AEA and/or 2-AG, with the magnitude of change scaling with fungal burden. This effect should be attenuated in </w:t>
      </w:r>
      <w:r w:rsidRPr="004F0C55">
        <w:rPr>
          <w:i/>
          <w:iCs/>
        </w:rPr>
        <w:t>ole2/ole2</w:t>
      </w:r>
      <w:r w:rsidRPr="00C3060A">
        <w:t xml:space="preserve"> or </w:t>
      </w:r>
      <w:r w:rsidRPr="004F0C55">
        <w:rPr>
          <w:i/>
          <w:iCs/>
        </w:rPr>
        <w:t>fet3/fet3</w:t>
      </w:r>
      <w:r w:rsidRPr="00C3060A">
        <w:t xml:space="preserve"> strains with reduced prostaglandin biosynthetic capacity. Such findings would support the hypothesis that fungal prostaglandin production measurably shifts host lipid signaling balance and may alter host ECS tone through competition within the shared arachidonic acid precursor pool.</w:t>
      </w:r>
    </w:p>
    <w:p w14:paraId="43048A23" w14:textId="76770E19" w:rsidR="004F0C55" w:rsidRDefault="004F0C55" w:rsidP="004F0C55">
      <w:pPr>
        <w:numPr>
          <w:ilvl w:val="0"/>
          <w:numId w:val="6"/>
        </w:numPr>
      </w:pPr>
      <w:r w:rsidRPr="004F0C55">
        <w:rPr>
          <w:b/>
          <w:bCs/>
        </w:rPr>
        <w:t>Non-</w:t>
      </w:r>
      <w:proofErr w:type="spellStart"/>
      <w:r w:rsidRPr="004F0C55">
        <w:rPr>
          <w:b/>
          <w:bCs/>
        </w:rPr>
        <w:t>candidalysin</w:t>
      </w:r>
      <w:proofErr w:type="spellEnd"/>
      <w:r w:rsidRPr="004F0C55">
        <w:rPr>
          <w:b/>
          <w:bCs/>
        </w:rPr>
        <w:t xml:space="preserve"> Ece1 peptide functional characterization.</w:t>
      </w:r>
      <w:r w:rsidRPr="004F0C55">
        <w:rPr>
          <w:b/>
          <w:bCs/>
          <w:i/>
          <w:iCs/>
        </w:rPr>
        <w:t xml:space="preserve"> </w:t>
      </w:r>
      <w:r>
        <w:t xml:space="preserve">The 2024 interactome screen (Lin et al., 2024) identified host protein targets for all eight Ece1 peptides but focused mechanistic investigation on </w:t>
      </w:r>
      <w:proofErr w:type="spellStart"/>
      <w:r>
        <w:t>candidalysin</w:t>
      </w:r>
      <w:proofErr w:type="spellEnd"/>
      <w:r>
        <w:t xml:space="preserve"> alone. Functional characterization of Ece1-I, -II, and -IV through -VIII in both epithelial and immune cell models, using purified synthetic peptides at concentrations achievable in the invasion pocket microenvironment, should reveal whether these peptides constitute a coordinated immune modulation panel. The prediction from the </w:t>
      </w:r>
      <w:r w:rsidR="00DD6777">
        <w:t>coevolution</w:t>
      </w:r>
      <w:r>
        <w:t>ary framework: at least two non-</w:t>
      </w:r>
      <w:proofErr w:type="spellStart"/>
      <w:r>
        <w:t>candidalysin</w:t>
      </w:r>
      <w:proofErr w:type="spellEnd"/>
      <w:r>
        <w:t xml:space="preserve"> Ece1 peptides will demonstrate dose-dependent immune suppression through distinct receptor pathways, consistent with a multi-peptide effector strategy rather than a single-toxin virulence mechanism. The LILR-family interactions identified for Ece1-II and Ece1-V (Lin et al., 2024) are the most promising initial targets. If confirmed, this would establish that </w:t>
      </w:r>
      <w:r w:rsidRPr="004F0C55">
        <w:rPr>
          <w:i/>
          <w:iCs/>
        </w:rPr>
        <w:t>C. albicans</w:t>
      </w:r>
      <w:r>
        <w:t xml:space="preserve"> </w:t>
      </w:r>
      <w:proofErr w:type="gramStart"/>
      <w:r>
        <w:t>secretes</w:t>
      </w:r>
      <w:proofErr w:type="gramEnd"/>
      <w:r>
        <w:t xml:space="preserve"> a coordinated peptide effector panel from a single gene product, processed through Kex2p/Kex1p in the same enzymatic logic as mammalian prohormone processing.</w:t>
      </w:r>
    </w:p>
    <w:p w14:paraId="058070D5" w14:textId="305FD229" w:rsidR="004F0C55" w:rsidRDefault="004F0C55">
      <w:pPr>
        <w:numPr>
          <w:ilvl w:val="0"/>
          <w:numId w:val="6"/>
        </w:numPr>
      </w:pPr>
      <w:r>
        <w:rPr>
          <w:b/>
          <w:bCs/>
          <w:i/>
          <w:iCs/>
        </w:rPr>
        <w:t xml:space="preserve">Peptide transporter </w:t>
      </w:r>
      <w:proofErr w:type="gramStart"/>
      <w:r>
        <w:rPr>
          <w:b/>
          <w:bCs/>
          <w:i/>
          <w:iCs/>
        </w:rPr>
        <w:t>function</w:t>
      </w:r>
      <w:proofErr w:type="gramEnd"/>
      <w:r>
        <w:rPr>
          <w:b/>
          <w:bCs/>
          <w:i/>
          <w:iCs/>
        </w:rPr>
        <w:t xml:space="preserve"> in host-signal sensing. </w:t>
      </w:r>
      <w:r>
        <w:t xml:space="preserve">The ten peptide transporters (2 PTR, 8 OPT) of </w:t>
      </w:r>
      <w:r>
        <w:rPr>
          <w:i/>
          <w:iCs/>
        </w:rPr>
        <w:t>C. albicans</w:t>
      </w:r>
      <w:r>
        <w:t xml:space="preserve"> are maintained despite having no fitness requirement for gastrointestinal colonization (Dunkel et al., 2013). To test whether these transporters function as environmental sensors in addition to nutrient importers, </w:t>
      </w:r>
      <w:r>
        <w:rPr>
          <w:i/>
          <w:iCs/>
        </w:rPr>
        <w:t>C. albicans</w:t>
      </w:r>
      <w:r>
        <w:t xml:space="preserve"> </w:t>
      </w:r>
      <w:r>
        <w:lastRenderedPageBreak/>
        <w:t xml:space="preserve">populations should be exposed to physiologically relevant concentrations of gut-derived peptide hormones (GLP-1, CCK, PYY) and antimicrobial neuropeptides (Substance P, NPY) in defined media, and transcriptomic and morphological responses measured. The prediction: exposure to at least one host-derived signaling peptide will produce a measurable transcriptional or morphological response in wild-type </w:t>
      </w:r>
      <w:r>
        <w:rPr>
          <w:i/>
          <w:iCs/>
        </w:rPr>
        <w:t>C. albicans</w:t>
      </w:r>
      <w:r>
        <w:t xml:space="preserve"> that is attenuated or absent in the peptide transporter-deficient septuple mutant (</w:t>
      </w:r>
      <w:r>
        <w:rPr>
          <w:i/>
          <w:iCs/>
        </w:rPr>
        <w:t>opt1Δ opt2Δ opt3Δ opt4Δ opt5Δ ptr2Δ ptr22Δ</w:t>
      </w:r>
      <w:r>
        <w:t>), indicating that import of the host peptide is required for the response.</w:t>
      </w:r>
    </w:p>
    <w:p w14:paraId="210A13C8" w14:textId="322DD0EB" w:rsidR="00FD2B8F" w:rsidRPr="00C3060A" w:rsidRDefault="00D953B8">
      <w:pPr>
        <w:numPr>
          <w:ilvl w:val="0"/>
          <w:numId w:val="6"/>
        </w:numPr>
      </w:pPr>
      <w:r w:rsidRPr="00D953B8">
        <w:rPr>
          <w:b/>
          <w:bCs/>
        </w:rPr>
        <w:t xml:space="preserve">Colonization-density correlation with salt sensitivity. </w:t>
      </w:r>
      <w:r w:rsidRPr="00D953B8">
        <w:t>Quantitative Candida colonization assessment (mycobiome profiling) combined with standardized salt sensitivity testing (sodium loading and depletion protocols) in the same cohort, with multivariate adjustment for age, BMI, renal function, and RAAS genotype, should reveal a correlation between commensal colonization density and salt sensitivity independent of the standard clinical predictors. If confirmed, this would support the first gate of the two-gate model proposed in Section 8.6 and establish commensal signaling density as a previously unrecognized variable in hypertension pathophysiology."</w:t>
      </w:r>
    </w:p>
    <w:p w14:paraId="02A9DD38" w14:textId="77777777" w:rsidR="00303C34" w:rsidRDefault="006C3A6A">
      <w:pPr>
        <w:pStyle w:val="Heading2"/>
      </w:pPr>
      <w:bookmarkStart w:id="45" w:name="relationship-to-existing-hypotheses"/>
      <w:bookmarkEnd w:id="44"/>
      <w:r>
        <w:t>10.2 Relationship to Existing Hypotheses</w:t>
      </w:r>
    </w:p>
    <w:p w14:paraId="49986C82" w14:textId="77777777" w:rsidR="00303C34" w:rsidRDefault="006C3A6A" w:rsidP="000261E1">
      <w:pPr>
        <w:pStyle w:val="BodyText"/>
        <w:spacing w:before="0" w:after="0"/>
      </w:pPr>
      <w:r>
        <w:t>The Saline Oscillation Hypothesis is compatible with and extends the pulsed climate variability hypothesis (Maslin et al., 2014; Maslin and Trauth, 2009). Where the existing hypothesis identifies environmental instability as the driver of hominid evolution without specifying the mechanism, the Saline Oscillation Hypothesis proposes a specific biochemical pathway (the ECS-mediated fungal-host interaction, activated by SIADH-type electrolyte disruption during freshwater transitions after saline acclimation) as the mediating mechanism between environmental change and evolutionary outcome.</w:t>
      </w:r>
    </w:p>
    <w:p w14:paraId="67C7C5DF" w14:textId="459F5721" w:rsidR="00D9255A" w:rsidRDefault="006C3A6A" w:rsidP="000261E1">
      <w:pPr>
        <w:pStyle w:val="BodyText"/>
        <w:spacing w:before="0" w:after="0"/>
      </w:pPr>
      <w:r>
        <w:t xml:space="preserve">It is also compatible with the variability selection hypothesis (Potts, 1998), which proposes that hominids were selected for adaptability itself. The ECS is fundamentally a homeostatic regulatory system; its refinement through </w:t>
      </w:r>
      <w:r w:rsidR="00DD6777">
        <w:t>coevolution</w:t>
      </w:r>
      <w:r>
        <w:t>ary interaction with a symbiont that requires metabolic flexibility would directly select for the kind of adaptive plasticity Potts describes.</w:t>
      </w:r>
    </w:p>
    <w:p w14:paraId="34D16ED9" w14:textId="4D407189" w:rsidR="00D9255A" w:rsidRDefault="00D9255A" w:rsidP="00D9255A">
      <w:pPr>
        <w:pStyle w:val="Heading2"/>
      </w:pPr>
      <w:r>
        <w:t>10.3 Coevolutionary Precedent for Signaling Complexity</w:t>
      </w:r>
    </w:p>
    <w:p w14:paraId="7EE75432" w14:textId="77777777" w:rsidR="00E07447" w:rsidRPr="00E07447" w:rsidRDefault="00E07447" w:rsidP="00324D02">
      <w:r w:rsidRPr="00E07447">
        <w:t>The multi-receptor, multi-molecular-class signaling architecture described in Section 5 invites an obvious objection: the system is too complex to have emerged through pairwise coevolution between a single fungal species and its mammalian hosts. A decade of experimental work from the Meyer laboratory provides a direct empirical answer across three complementary studies.</w:t>
      </w:r>
    </w:p>
    <w:p w14:paraId="0B960405" w14:textId="77777777" w:rsidR="00E07447" w:rsidRPr="00E07447" w:rsidRDefault="00E07447" w:rsidP="00324D02">
      <w:r w:rsidRPr="00E07447">
        <w:t xml:space="preserve">Borin et al. (2023) demonstrated that </w:t>
      </w:r>
      <w:r w:rsidRPr="00E07447">
        <w:rPr>
          <w:i/>
          <w:iCs/>
        </w:rPr>
        <w:t>Escherichia coli</w:t>
      </w:r>
      <w:r w:rsidRPr="00E07447">
        <w:t xml:space="preserve"> and bacteriophage Φ21, starting from isogenic populations in well-mixed cultures, diversified into elaborate nested-modular cross-infection networks in just 21 days, showing that "multiscale network structure can evolve rapidly under simple ecological conditions without spatial structure [...] illustrating Darwin's idea that simple adaptive processes can generate entangled banks of ecological interactions." Zaman et al. (2014), using a digital evolution platform, showed that "coevolution of hosts and parasites greatly increases organismal complexity relative to that otherwise achieved," and that coevolved hosts evolved genomes that were "also more phenotypically evolvable," supporting "a general model whereby antagonistic interactions and natural selection together favor both increased complexity and evolvability." Gupta et al. (2022) then measured the fitness landscape of </w:t>
      </w:r>
      <w:r w:rsidRPr="00E07447">
        <w:lastRenderedPageBreak/>
        <w:t xml:space="preserve">bacteriophage λ as it coevolved with </w:t>
      </w:r>
      <w:r w:rsidRPr="00E07447">
        <w:rPr>
          <w:i/>
          <w:iCs/>
        </w:rPr>
        <w:t>E. coli</w:t>
      </w:r>
      <w:r w:rsidRPr="00E07447">
        <w:t xml:space="preserve"> using high-throughput gene editing-phenotyping technology, providing "direct evidence for the role of coevolution in driving evolutionary novelty" and demonstrating that the fitness landscape is not static but a shifting seascape whose contours are continuously reshaped by the coevolutionary process itself, opening adaptive pathways inaccessible to either partner evolving alone.</w:t>
      </w:r>
    </w:p>
    <w:p w14:paraId="1524DF0E" w14:textId="77777777" w:rsidR="00E07447" w:rsidRDefault="00E07447" w:rsidP="000261E1">
      <w:pPr>
        <w:pStyle w:val="BodyText"/>
        <w:spacing w:before="0" w:after="0"/>
      </w:pPr>
      <w:r w:rsidRPr="00E07447">
        <w:t xml:space="preserve">The implications for the framework presented here are direct. The </w:t>
      </w:r>
      <w:proofErr w:type="spellStart"/>
      <w:r w:rsidRPr="00E07447">
        <w:t>Plio</w:t>
      </w:r>
      <w:proofErr w:type="spellEnd"/>
      <w:r w:rsidRPr="00E07447">
        <w:t xml:space="preserve">-Pleistocene salinity oscillations described in Sections 6 and 7 imposed thousands of environmental reversals on the </w:t>
      </w:r>
      <w:r w:rsidRPr="00E07447">
        <w:rPr>
          <w:i/>
          <w:iCs/>
        </w:rPr>
        <w:t>Candida</w:t>
      </w:r>
      <w:r w:rsidRPr="00E07447">
        <w:t xml:space="preserve">-hominid partnership, each cycle constituting a serial-passage event under reciprocal selection. If 21 days of phage-bacteria coevolution in a flask generates multiscale network complexity, and coevolution systematically drives both increased trait complexity and increased evolvability, then 200 million years of fungal-mammalian coevolution under fluctuating environmental pressure is not merely sufficient to produce the signaling architecture documented in Section 5. It would be surprising if it did not. The objection is not that the system is too complex. The objection, </w:t>
      </w:r>
      <w:proofErr w:type="gramStart"/>
      <w:r w:rsidRPr="00E07447">
        <w:t>in light of</w:t>
      </w:r>
      <w:proofErr w:type="gramEnd"/>
      <w:r w:rsidRPr="00E07447">
        <w:t xml:space="preserve"> the experimental evidence, would be that it is too simple</w:t>
      </w:r>
    </w:p>
    <w:p w14:paraId="19AF3D8B" w14:textId="77777777" w:rsidR="00A10B33" w:rsidRPr="00A10B33" w:rsidRDefault="00A10B33" w:rsidP="00A10B33">
      <w:pPr>
        <w:pStyle w:val="Heading2"/>
      </w:pPr>
      <w:r w:rsidRPr="00A10B33">
        <w:t>10.4 Population Structure, Differential Selection, and the Genetic Shadow of Homo candidus</w:t>
      </w:r>
    </w:p>
    <w:p w14:paraId="72D8C905" w14:textId="49E252C9" w:rsidR="00A10B33" w:rsidRPr="00A10B33" w:rsidRDefault="00A10B33" w:rsidP="00A956E9">
      <w:r w:rsidRPr="00A10B33">
        <w:t xml:space="preserve">Recent population genetic evidence provides independent support for the </w:t>
      </w:r>
      <w:r w:rsidR="00DD6777">
        <w:t>coevolution</w:t>
      </w:r>
      <w:r w:rsidRPr="00A10B33">
        <w:t>ary framework presented in this paper. Rogers et al. (2026) applied site pattern frequencies and bootstrap model averaging to archaic and modern human genomes and identified a two-</w:t>
      </w:r>
      <w:proofErr w:type="spellStart"/>
      <w:r w:rsidRPr="00A10B33">
        <w:t>superarchaic</w:t>
      </w:r>
      <w:proofErr w:type="spellEnd"/>
      <w:r w:rsidRPr="00A10B33">
        <w:t xml:space="preserve"> model of Pleistocene population structure, with 98% bootstrap model weight over the single-</w:t>
      </w:r>
      <w:proofErr w:type="spellStart"/>
      <w:r w:rsidRPr="00A10B33">
        <w:t>superarchaic</w:t>
      </w:r>
      <w:proofErr w:type="spellEnd"/>
      <w:r w:rsidRPr="00A10B33">
        <w:t xml:space="preserve"> alternative. Their analysis estimates that a previously uncharacterized African population, designated "Z," diverged from the lineage leading to modern humans at approximately 1.3 Ma (95% CI: 1.181–1.428 Ma) and subsequently contributed 19.6% of early modern human ancestry (95% CI: 12.4–26.4%) through admixture prior to the out-of-Africa dispersal.</w:t>
      </w:r>
    </w:p>
    <w:p w14:paraId="01A4C89F" w14:textId="77777777" w:rsidR="00A10B33" w:rsidRPr="00A10B33" w:rsidRDefault="00A10B33" w:rsidP="00A956E9">
      <w:r w:rsidRPr="00A10B33">
        <w:t>The authors explicitly identify the central puzzle their model raises: how two African hominin populations remained reproductively isolated for roughly a million years in the absence of continental-scale geographic barriers. They note that Africa's deserts were not continuously arid and that no physical boundary comparable to a mountain range or ocean channel has been identified. The isolation mechanism remains unresolved within their framework.</w:t>
      </w:r>
    </w:p>
    <w:p w14:paraId="29B11C5B" w14:textId="2018B7A4" w:rsidR="00A10B33" w:rsidRPr="00A10B33" w:rsidRDefault="00A10B33" w:rsidP="00A956E9">
      <w:r w:rsidRPr="00A10B33">
        <w:t xml:space="preserve">The Saline Oscillation Hypothesis offers a candidate mechanism. The amplifier lakes of the Eastern Rift, described in Section 2.2, function as periodic barriers to migration. During wet phases, when </w:t>
      </w:r>
      <w:proofErr w:type="spellStart"/>
      <w:r w:rsidRPr="00A10B33">
        <w:t>precessional</w:t>
      </w:r>
      <w:proofErr w:type="spellEnd"/>
      <w:r w:rsidRPr="00A10B33">
        <w:t xml:space="preserve"> forcing fills rift basins to depths exceeding 150 meters and widths spanning the valley floor (Kingston et al., 2007; Trauth et al., 2010), these lakes block east-west movement of terrestrial populations. During dry phases, when the lakes contract or disappear, the barrier drops and populations on either side can mix. The oscillation cycle that deepened the </w:t>
      </w:r>
      <w:r w:rsidR="00DD6777">
        <w:t>coevolution</w:t>
      </w:r>
      <w:r w:rsidRPr="00A10B33">
        <w:t>ary program simultaneously created and removed the geographic barrier that isolated the population undergoing it.</w:t>
      </w:r>
    </w:p>
    <w:p w14:paraId="0A99A96D" w14:textId="32F714C9" w:rsidR="00A10B33" w:rsidRDefault="00A10B33" w:rsidP="00A956E9">
      <w:r w:rsidRPr="00A10B33">
        <w:t xml:space="preserve">Under this model, Population Z corresponds to the oscillation-exposed lineage. For approximately 1.4 million years (from the onset of intense variability at ~2.7 Ma through the estimated divergence point at ~1.3 Ma), this population experienced recurrent saline-to-freshwater transitions that progressively deepened symbiont integration through the mechanism described in Section 4. The population on the opposite side of the rift barrier, ancestral to the modern-archaic lineage, carried the same commensal symbiont but was never exposed to the </w:t>
      </w:r>
      <w:r w:rsidRPr="00A10B33">
        <w:lastRenderedPageBreak/>
        <w:t xml:space="preserve">electrolyte oscillation that activated the full program. Both populations possessed the same biological components: </w:t>
      </w:r>
      <w:r w:rsidRPr="00810600">
        <w:rPr>
          <w:i/>
          <w:iCs/>
        </w:rPr>
        <w:t>C. albicans</w:t>
      </w:r>
      <w:r w:rsidRPr="00A10B33">
        <w:t xml:space="preserve"> as commensal, a functional endocannabinoid system, and mammalian cardiac architecture. The environmental key turned </w:t>
      </w:r>
      <w:proofErr w:type="gramStart"/>
      <w:r w:rsidRPr="00A10B33">
        <w:t>in</w:t>
      </w:r>
      <w:proofErr w:type="gramEnd"/>
      <w:r w:rsidRPr="00A10B33">
        <w:t xml:space="preserve"> only one lock.</w:t>
      </w:r>
    </w:p>
    <w:p w14:paraId="649BD890" w14:textId="44C39901" w:rsidR="002B32C9" w:rsidRDefault="002B32C9" w:rsidP="00A956E9">
      <w:r w:rsidRPr="002B32C9">
        <w:t>The chronology estimated by Rogers et al. is consistent with the Homo candidus framework at every constrained node. Z diverges from the modern-archaic trunk at ~1.3 Ma, within the window of sustained oscillation pressure that began at 2.7 Ma and continued through variability packets at 1.9–1.7 Ma and 1.1–0.9 Ma. The admixture from Z into XY occurs after the Neanderthal-Denisovan split (~500–700 ka) and well before the X-Y separation (~30–50 ka), placing it in the Middle Pleistocene. This implies an isolation period of approximately 600,000–800,000 years between divergence and significant admixture, sufficient for the sustained boundary contact and gradual social convergence described below. The timelines are not contradicted by Rogers et al. at any point. If a population existed in the East African Rift Valley that diverged from the main hominin trunk at ~1.3 Ma, remained isolated for roughly a million years without a geographic barrier, and ultimately contributed nearly 20% of early modern human ancestry, Homo candidus, as described in this paper, is a candidate consistent with every parameter their model estimates.</w:t>
      </w:r>
    </w:p>
    <w:p w14:paraId="7D51D929" w14:textId="77777777" w:rsidR="00A10B33" w:rsidRPr="00A10B33" w:rsidRDefault="00A10B33" w:rsidP="00A956E9">
      <w:r w:rsidRPr="00A10B33">
        <w:t>The result, over a million years of differential selection, would be two populations with divergent phenotypes derived from the same genetic substrate. The oscillation-exposed population developed the Homo candidus phenotype described in Section 8: preserved suction-dominant cardiac architecture, deeper ECS integration, enhanced cognitive capacity, language, and a cooperative social structure organized around collective defense, resource management, knowledge transmission, and the protection of vulnerable individuals during transition phases. The non-exposed population developed along the standard mammalian trajectory: pump-dominant hearts (the normal postnatal developmental outcome in the absence of the preservation program described in Section 8.2), greater structural robustness, but without language, without the cannabinoid flywheel's epigenetic legacy, and without the organizational infrastructure that language and the flywheel produced.</w:t>
      </w:r>
    </w:p>
    <w:p w14:paraId="4804EBC9" w14:textId="77777777" w:rsidR="00A10B33" w:rsidRPr="00A10B33" w:rsidRDefault="00A10B33" w:rsidP="00A956E9">
      <w:r w:rsidRPr="00A10B33">
        <w:t xml:space="preserve">The social asymmetry this creates is the inverse of </w:t>
      </w:r>
      <w:proofErr w:type="gramStart"/>
      <w:r w:rsidRPr="00A10B33">
        <w:t>the physical</w:t>
      </w:r>
      <w:proofErr w:type="gramEnd"/>
      <w:r w:rsidRPr="00A10B33">
        <w:t xml:space="preserve"> asymmetry. Population Z, with language, cooperative social structure, and the accumulated knowledge of the flywheel, would have achieved higher population densities and controlled the resource-rich rift corridor and its margins. The non-exposed population, organized in small bands without language-mediated coordination, would have occupied peripheral territory. They were not competitors. They were avoiding Z. For the early portion of the contact period, this was not a contest between equals. It was a dominant, organized population and a fragmented peripheral one.</w:t>
      </w:r>
    </w:p>
    <w:p w14:paraId="7FD65B74" w14:textId="77777777" w:rsidR="00A10B33" w:rsidRPr="00A10B33" w:rsidRDefault="00A10B33" w:rsidP="00A956E9">
      <w:r w:rsidRPr="00A10B33">
        <w:t>Gene flow during this early period would have been predominantly outward from Z. Individuals expelled or separated from Z's social structure, hybrid offspring born at boundary contacts, and possibly adopted or captured individuals carried Z's cognitive and ECS-related genetic material into the peripheral population. This genetic leakage was asymmetric: the organizational knowledge and language capacity encoded in Z's genome entered the non-exposed population incrementally, generation by generation, without the full program ever activating in the recipients, because the environmental trigger was absent.</w:t>
      </w:r>
    </w:p>
    <w:p w14:paraId="5D7F5E62" w14:textId="77777777" w:rsidR="00A10B33" w:rsidRPr="00A10B33" w:rsidRDefault="00A10B33" w:rsidP="00A956E9">
      <w:r w:rsidRPr="00A10B33">
        <w:t xml:space="preserve">Over hundreds of thousands of years of this boundary contact, the non-exposed population gradually developed social cohesion. Language-associated genes accumulating through admixture provided the substrate. Observational learning at the boundary provided the model. The non-exposed population did not need to independently invent cooperative social structure. They inherited and imitated it from the population that had it. This was a slow process, </w:t>
      </w:r>
      <w:r w:rsidRPr="00A10B33">
        <w:lastRenderedPageBreak/>
        <w:t>but the contact period was long: from the estimated divergence at ~1.3 Ma through the eventual absorption, the two populations coexisted for a span sufficient for incremental social development.</w:t>
      </w:r>
    </w:p>
    <w:p w14:paraId="7A54CF82" w14:textId="77777777" w:rsidR="00A10B33" w:rsidRPr="00A10B33" w:rsidRDefault="00A10B33" w:rsidP="00A956E9">
      <w:r w:rsidRPr="00A10B33">
        <w:t>The competitive reversal occurred only after the non-exposed population crossed a threshold of organizational capacity sufficient to challenge Z collectively. At that point, their structural advantage became relevant. Pump-dominant cardiac architecture confers greater tolerance for thoracic trauma: thicker ventricular walls, higher systolic pressure, and no dependence on negative-pressure gradients that a penetrating wound would collapse. In a Pleistocene context with intergroup violence, this is a direct survival differential. A coordinated group of pump-heart individuals, now socially organized enough to act collectively, could sustain combat losses that would be fatal to suction-heart individuals. The advantage was not that the pump-heart population was larger from the outset. It was that once they organized, they were harder to kill.</w:t>
      </w:r>
    </w:p>
    <w:p w14:paraId="22A99C60" w14:textId="7F525A77" w:rsidR="00A10B33" w:rsidRPr="00A10B33" w:rsidRDefault="00A10B33" w:rsidP="00A956E9">
      <w:r w:rsidRPr="00A10B33">
        <w:t xml:space="preserve">As the </w:t>
      </w:r>
      <w:r w:rsidR="00DD6777">
        <w:t>coevolution</w:t>
      </w:r>
      <w:r w:rsidRPr="00A10B33">
        <w:t>ary program deepened across oscillation cycles, the transition-phase vulnerabilities described in Section 8 became more pronounced. The Homo candidus phenotype that had been purely advantageous in its early, simpler form now carried periodic costs: physiological transition phases during which individuals required social protection, metabolic demands that constrained dietary flexibility, and the structural vulnerability of the suction heart itself. The social infrastructure that had been Z's greatest advantage became a liability when challenged by an organized opponent who did not share these vulnerabilities.</w:t>
      </w:r>
    </w:p>
    <w:p w14:paraId="5FE0C2F3" w14:textId="77777777" w:rsidR="00A10B33" w:rsidRPr="00A10B33" w:rsidRDefault="00A10B33" w:rsidP="00A956E9">
      <w:r w:rsidRPr="00A10B33">
        <w:t>Hybrid offspring from boundary interbreeding inherited genetic material from both lineages but developed pump-dominant hearts by default, because the environmental trigger required for the preservation program was absent outside the rift corridor. The cognitive advantages downstream of the deepened ECS architecture, encoded in neuroplasticity-related genes, synaptic density regulators, and ECS receptor variants, persisted in the hybrid genome and were subject to positive selection. The cardiac architecture that enabled the full program did not persist, because it was program-dependent rather than purely genetic. The phenotype required the environmental key. Without it, the standard developmental transition from suction to pump proceeded normally (Section 8.2).</w:t>
      </w:r>
    </w:p>
    <w:p w14:paraId="4CA3C755" w14:textId="77777777" w:rsidR="00A10B33" w:rsidRPr="00A10B33" w:rsidRDefault="00A10B33" w:rsidP="00A956E9">
      <w:r w:rsidRPr="00A10B33">
        <w:t>Natural selection in the expanding hybrid population favored the pump heart. The suction phenotype could not activate outside the oscillation environment, and on the rare occasions atavistic activation occurred, it carried the transition-phase costs without the environmental context or social infrastructure to support them. Selection did not need to actively eliminate the suction heart. It simply never switched on.</w:t>
      </w:r>
    </w:p>
    <w:p w14:paraId="4222E6AA" w14:textId="77777777" w:rsidR="00A10B33" w:rsidRPr="00A10B33" w:rsidRDefault="00A10B33" w:rsidP="00A956E9">
      <w:r w:rsidRPr="00A10B33">
        <w:t xml:space="preserve">The 19.6% admixture fraction estimated by Rogers et al. represents the genetic shadow of Homo candidus in the modern human genome. It is not expressed as cardiac architecture, which </w:t>
      </w:r>
      <w:proofErr w:type="gramStart"/>
      <w:r w:rsidRPr="00A10B33">
        <w:t>required</w:t>
      </w:r>
      <w:proofErr w:type="gramEnd"/>
      <w:r w:rsidRPr="00A10B33">
        <w:t xml:space="preserve"> an environmental trigger that no longer exists. It is expressed as variation in ECS tone, cognitive capacity, salt sensitivity (Section 8.6), and the residual capacity of the program to </w:t>
      </w:r>
      <w:proofErr w:type="gramStart"/>
      <w:r w:rsidRPr="00A10B33">
        <w:t>activate</w:t>
      </w:r>
      <w:proofErr w:type="gramEnd"/>
      <w:r w:rsidRPr="00A10B33">
        <w:t xml:space="preserve"> under exceptional circumstances (Section 9). </w:t>
      </w:r>
      <w:proofErr w:type="gramStart"/>
      <w:r w:rsidRPr="00A10B33">
        <w:t>The genes remember</w:t>
      </w:r>
      <w:proofErr w:type="gramEnd"/>
      <w:r w:rsidRPr="00A10B33">
        <w:t>. The environment does not. Every modern human carries this fraction. None possesses the environmental key to unlock what it originally encoded.</w:t>
      </w:r>
    </w:p>
    <w:p w14:paraId="4AC63EEA" w14:textId="62F1FE3F" w:rsidR="00CF5826" w:rsidRDefault="00CF5826" w:rsidP="00324D02">
      <w:pPr>
        <w:pStyle w:val="Heading2"/>
      </w:pPr>
      <w:r>
        <w:t>10.</w:t>
      </w:r>
      <w:r w:rsidR="00814B3A">
        <w:t>5</w:t>
      </w:r>
      <w:r>
        <w:t xml:space="preserve"> 21</w:t>
      </w:r>
      <w:r w:rsidRPr="00CF5826">
        <w:rPr>
          <w:vertAlign w:val="superscript"/>
        </w:rPr>
        <w:t>st</w:t>
      </w:r>
      <w:r>
        <w:t xml:space="preserve"> Century Fungal Biology Emergence</w:t>
      </w:r>
    </w:p>
    <w:p w14:paraId="631BAE87" w14:textId="223AA84B" w:rsidR="000D7170" w:rsidRDefault="000D7170" w:rsidP="00A956E9">
      <w:r w:rsidRPr="001F0953">
        <w:t xml:space="preserve">Fungal biology represents a major ecological dimension that was systematically under-recognized within the dominant frameworks of 20th-century biomedical research. During this period, life science priorities were largely organized around host physiology, bacterial </w:t>
      </w:r>
      <w:r w:rsidRPr="001F0953">
        <w:lastRenderedPageBreak/>
        <w:t xml:space="preserve">pathogenesis, virology, pharmacology, and technological advances in diagnostic and therapeutic instrumentation. Despite contributing substantially to global infectious disease mortality, fungal pathogens historically received </w:t>
      </w:r>
      <w:r>
        <w:t>on the order of 1-2</w:t>
      </w:r>
      <w:r w:rsidRPr="001F0953">
        <w:t>% of infectious-disease research funding</w:t>
      </w:r>
      <w:r>
        <w:t xml:space="preserve"> </w:t>
      </w:r>
      <w:r w:rsidRPr="000D7170">
        <w:t>(Head et al., 2014)</w:t>
      </w:r>
      <w:r w:rsidRPr="001F0953">
        <w:t xml:space="preserve">, reflecting a </w:t>
      </w:r>
      <w:r>
        <w:t>systemic</w:t>
      </w:r>
      <w:r w:rsidRPr="001F0953">
        <w:t xml:space="preserve"> neglect of fungal ecological systems within modern biomedical science.</w:t>
      </w:r>
      <w:r>
        <w:t xml:space="preserve"> </w:t>
      </w:r>
      <w:r w:rsidRPr="00FD14E2">
        <w:t xml:space="preserve">The World Health Organization’s publication of its first fungal priority pathogens list in 2022 </w:t>
      </w:r>
      <w:r w:rsidRPr="000D7170">
        <w:t xml:space="preserve">(WHO, 2022) </w:t>
      </w:r>
      <w:r w:rsidRPr="00FD14E2">
        <w:t xml:space="preserve">represents formal recognition of this longstanding </w:t>
      </w:r>
      <w:r>
        <w:t xml:space="preserve">institutional </w:t>
      </w:r>
      <w:r w:rsidRPr="00FD14E2">
        <w:t>under-prioritization and signals a shift toward consolidation of fungal disease as a central global health concern.</w:t>
      </w:r>
      <w:r>
        <w:t xml:space="preserve"> </w:t>
      </w:r>
    </w:p>
    <w:p w14:paraId="38035047" w14:textId="6652D983" w:rsidR="000D7170" w:rsidRPr="001F0953" w:rsidRDefault="000D7170" w:rsidP="00A956E9">
      <w:r w:rsidRPr="001F0953">
        <w:rPr>
          <w:i/>
          <w:iCs/>
        </w:rPr>
        <w:t>Candida albicans</w:t>
      </w:r>
      <w:r w:rsidRPr="001F0953">
        <w:t xml:space="preserve"> presents a particularly illustrative case of disciplinary fragmentation. Due to its involvement in immunology, microbiology, cell biology, endocrinology, neurobiology, and ecological host–microbe interactions, its functional capabilities have been investigated extensively but often within domain-specific contexts. As a result, key </w:t>
      </w:r>
      <w:proofErr w:type="gramStart"/>
      <w:r w:rsidRPr="001F0953">
        <w:t>phenomena  including</w:t>
      </w:r>
      <w:proofErr w:type="gramEnd"/>
      <w:r w:rsidRPr="001F0953">
        <w:t xml:space="preserve"> cross-kingdom signaling interactions, engagement with the endocannabinoid system, prostaglandin biosynthesis from host-derived substrates, immune polarization dynamics, peptide-processing homologies, extracellular vesicle–mediated communication, bidirectional pH modulation, and ionic competition mechanisms are well documented individually but have rarely been synthesized into a unified ecological framework.</w:t>
      </w:r>
    </w:p>
    <w:p w14:paraId="722B8876" w14:textId="7240481F" w:rsidR="000D7170" w:rsidRPr="001F0953" w:rsidRDefault="000D7170" w:rsidP="00A956E9">
      <w:r w:rsidRPr="001F0953">
        <w:t xml:space="preserve">The present work attempts such a synthesis. Rather than introducing novel molecular findings, it integrates established observations across disciplinary boundaries to propose an ecological systems interpretation of </w:t>
      </w:r>
      <w:r w:rsidRPr="001F0953">
        <w:rPr>
          <w:i/>
          <w:iCs/>
        </w:rPr>
        <w:t>C. albicans</w:t>
      </w:r>
      <w:r w:rsidRPr="001F0953">
        <w:t xml:space="preserve">–host </w:t>
      </w:r>
      <w:r w:rsidR="00DD6777">
        <w:t>coevolution</w:t>
      </w:r>
      <w:r w:rsidRPr="001F0953">
        <w:t>ary dynamics.</w:t>
      </w:r>
    </w:p>
    <w:p w14:paraId="278A39B4" w14:textId="20758B30" w:rsidR="00303C34" w:rsidRDefault="00CF5826" w:rsidP="00324D02">
      <w:pPr>
        <w:pStyle w:val="Heading2"/>
      </w:pPr>
      <w:r>
        <w:t xml:space="preserve"> </w:t>
      </w:r>
      <w:bookmarkStart w:id="46" w:name="limitations"/>
      <w:bookmarkEnd w:id="45"/>
      <w:r w:rsidR="006C3A6A">
        <w:t>10.</w:t>
      </w:r>
      <w:r w:rsidR="00814B3A">
        <w:t>6</w:t>
      </w:r>
      <w:r w:rsidR="006C3A6A">
        <w:t xml:space="preserve"> Limitations</w:t>
      </w:r>
    </w:p>
    <w:p w14:paraId="7CD487A0" w14:textId="77777777" w:rsidR="00303C34" w:rsidRDefault="006C3A6A" w:rsidP="00A956E9">
      <w:r>
        <w:t>The cardiac architecture hypothesis (Section 8) identifies the weakest link in the current framework. The timing of the suction-to-pump transition is unknown, the threshold at which pump-dominance prevents the symbiont’s program is uncharacterized, and no fossil evidence directly bears on cardiac conduction architecture. This component is currently unfalsifiable and should be treated as a theoretical prediction awaiting methodological development.</w:t>
      </w:r>
    </w:p>
    <w:p w14:paraId="00641225" w14:textId="77777777" w:rsidR="00303C34" w:rsidRDefault="006C3A6A" w:rsidP="00A956E9">
      <w:r>
        <w:t>The self-citation density, while addressed in the Methodological Note, remains a limitation. The framework depends on observational data from a single longitudinal case study and historical recollections of a redacted source. Independent verification through identification of additional cases, recovery of the original article, or prospective clinical study would substantially strengthen the evidentiary foundation.</w:t>
      </w:r>
    </w:p>
    <w:p w14:paraId="1A18C33A" w14:textId="77777777" w:rsidR="00303C34" w:rsidRDefault="006C3A6A" w:rsidP="00A956E9">
      <w:r>
        <w:t xml:space="preserve">The pre-linguistic cannabinoid flywheel (Section 3), while consistent with the known behavioral pharmacology of CB1 agonism and the archaeological evidence for pre-linguistic cooperative behavior, is speculative in its earliest phases. No direct archaeological evidence for hominid </w:t>
      </w:r>
      <w:proofErr w:type="spellStart"/>
      <w:r>
        <w:t>phytocannabinoid</w:t>
      </w:r>
      <w:proofErr w:type="spellEnd"/>
      <w:r>
        <w:t xml:space="preserve"> use before the Neolithic currently exists.</w:t>
      </w:r>
    </w:p>
    <w:p w14:paraId="43063AE0" w14:textId="77777777" w:rsidR="00303C34" w:rsidRDefault="006C3A6A" w:rsidP="00A956E9">
      <w:r>
        <w:t xml:space="preserve">An additional methodological limitation applies to the cross-kingdom signaling evidence presented in Section 5. Virtually all receptor-level interactions between </w:t>
      </w:r>
      <w:r>
        <w:rPr>
          <w:i/>
          <w:iCs/>
        </w:rPr>
        <w:t>C. albicans</w:t>
      </w:r>
      <w:r>
        <w:t xml:space="preserve"> metabolites and host signaling systems have been characterized in vitro: isolated compounds tested against isolated targets in controlled media. While these studies confirm that the molecular interactions are possible, they do not demonstrate that they occur in the integrated, spatially heterogeneous, temporally dynamic environment of a living host. The in vitro evidence establishes the components. The assembled system, in which hundreds of metabolites interact with multiple receptor classes simultaneously across variable tissue microenvironments, has never been observed in vivo. The development of metabolomic and receptor-level imaging tools capable of </w:t>
      </w:r>
      <w:r>
        <w:lastRenderedPageBreak/>
        <w:t>capturing this interaction network in real time within a living host would substantially advance the evidentiary foundation for the framework described here.</w:t>
      </w:r>
    </w:p>
    <w:p w14:paraId="610D6B10" w14:textId="77777777" w:rsidR="00303C34" w:rsidRDefault="00000000">
      <w:r>
        <w:pict w14:anchorId="6A80A912">
          <v:rect id="_x0000_i1343" style="width:0;height:1.5pt" o:hralign="center" o:hrstd="t" o:hr="t"/>
        </w:pict>
      </w:r>
    </w:p>
    <w:p w14:paraId="5AD12000" w14:textId="77777777" w:rsidR="00303C34" w:rsidRDefault="006C3A6A">
      <w:pPr>
        <w:pStyle w:val="Heading1"/>
      </w:pPr>
      <w:bookmarkStart w:id="47" w:name="conclusion"/>
      <w:bookmarkEnd w:id="43"/>
      <w:bookmarkEnd w:id="46"/>
      <w:r>
        <w:t>11. Conclusion</w:t>
      </w:r>
    </w:p>
    <w:p w14:paraId="23C57C04" w14:textId="6EDD1476" w:rsidR="00303C34" w:rsidRDefault="006C3A6A" w:rsidP="000261E1">
      <w:pPr>
        <w:pStyle w:val="BodyText"/>
        <w:spacing w:before="0" w:after="0"/>
      </w:pPr>
      <w:r>
        <w:t xml:space="preserve">The Saline Oscillation Hypothesis proposes that the cyclical salinity changes in East African Rift Valley lakes during the </w:t>
      </w:r>
      <w:proofErr w:type="spellStart"/>
      <w:r>
        <w:t>Plio</w:t>
      </w:r>
      <w:proofErr w:type="spellEnd"/>
      <w:r>
        <w:t xml:space="preserve">-Pleistocene created the environmental conditions (SIADH-type electrolyte disruption during freshwater transitions after saline acclimation) under which a fungal symbiont capable of managing host perfusion through the ECS gained decisive selective advantage. This activated and progressively deepened an ECS-mediated </w:t>
      </w:r>
      <w:r w:rsidR="00DD6777">
        <w:t>coevolution</w:t>
      </w:r>
      <w:r>
        <w:t xml:space="preserve">ary relationship between </w:t>
      </w:r>
      <w:r>
        <w:rPr>
          <w:i/>
          <w:iCs/>
        </w:rPr>
        <w:t>Candida</w:t>
      </w:r>
      <w:r>
        <w:t xml:space="preserve"> species and hominid hosts, producing a functionally distinct phenotype we designate </w:t>
      </w:r>
      <w:r>
        <w:rPr>
          <w:i/>
          <w:iCs/>
        </w:rPr>
        <w:t>Homo candidus</w:t>
      </w:r>
      <w:r>
        <w:t>.</w:t>
      </w:r>
    </w:p>
    <w:p w14:paraId="6A335B06" w14:textId="77777777" w:rsidR="00303C34" w:rsidRDefault="006C3A6A" w:rsidP="000261E1">
      <w:pPr>
        <w:pStyle w:val="BodyText"/>
        <w:spacing w:before="0" w:after="0"/>
      </w:pPr>
      <w:r>
        <w:t xml:space="preserve">The relationship was preceded and supported by a pre-linguistic social flywheel driven by communal </w:t>
      </w:r>
      <w:proofErr w:type="spellStart"/>
      <w:r>
        <w:t>phytocannabinoid</w:t>
      </w:r>
      <w:proofErr w:type="spellEnd"/>
      <w:r>
        <w:t xml:space="preserve"> use, which established cooperative social structure before language emerged. The full trinity (the fungal symbiont, host physiology including cardiac suction, IVC </w:t>
      </w:r>
      <w:proofErr w:type="gramStart"/>
      <w:r>
        <w:t>dynamics, and</w:t>
      </w:r>
      <w:proofErr w:type="gramEnd"/>
      <w:r>
        <w:t xml:space="preserve"> renal pressure management, and cooperative social structure supported by exogenous </w:t>
      </w:r>
      <w:proofErr w:type="spellStart"/>
      <w:r>
        <w:t>phytocannabinoid</w:t>
      </w:r>
      <w:proofErr w:type="spellEnd"/>
      <w:r>
        <w:t xml:space="preserve"> cultivation) was accelerated by the emergence of language and plausibly operational by approximately 1.55 Ma.</w:t>
      </w:r>
    </w:p>
    <w:p w14:paraId="1FADCA07" w14:textId="3FE7D5D5" w:rsidR="00376C9E" w:rsidRDefault="006C3A6A" w:rsidP="00376C9E">
      <w:pPr>
        <w:pStyle w:val="BodyText"/>
        <w:spacing w:before="0" w:after="0"/>
      </w:pPr>
      <w:r>
        <w:t xml:space="preserve">The subsequent evolution of pump-dominant cardiac architecture broke this trinity, leaving the symbiont commensal but unable to execute its full program in modern humans. The evolutionary divergence of </w:t>
      </w:r>
      <w:r>
        <w:rPr>
          <w:i/>
          <w:iCs/>
        </w:rPr>
        <w:t>C. albicans</w:t>
      </w:r>
      <w:r>
        <w:t xml:space="preserve"> from </w:t>
      </w:r>
      <w:r>
        <w:rPr>
          <w:i/>
          <w:iCs/>
        </w:rPr>
        <w:t xml:space="preserve">C. </w:t>
      </w:r>
      <w:proofErr w:type="spellStart"/>
      <w:r>
        <w:rPr>
          <w:i/>
          <w:iCs/>
        </w:rPr>
        <w:t>dubliniensis</w:t>
      </w:r>
      <w:proofErr w:type="spellEnd"/>
      <w:r>
        <w:t xml:space="preserve">, with directional selection for host-integration genes in the former and reductive evolution in the latter, provides independent biological evidence consistent with the proposed </w:t>
      </w:r>
      <w:r w:rsidR="00DD6777">
        <w:t>coevolution</w:t>
      </w:r>
      <w:r>
        <w:t xml:space="preserve">ary mechanism. The cross-kingdom signaling evidence assembled in Section 5 demonstrates that the organism’s capabilities extend far beyond the endocannabinoid system: confirmed interactions with nuclear transcription factors, ion channels, neurotransmitter receptors, cholinergic signaling, immune cell differentiation pathways, and the incretin system establish a control surface whose breadth is consistent with 200 million years of </w:t>
      </w:r>
      <w:r w:rsidR="00DD6777">
        <w:t>coevolution</w:t>
      </w:r>
      <w:r>
        <w:t xml:space="preserve">ary refinement. The ECS was the original interface. The broader receptor landscape was the expanded toolkit. The organism did not need to evolve new capabilities to respond to saline oscillation. It </w:t>
      </w:r>
      <w:proofErr w:type="gramStart"/>
      <w:r>
        <w:t>needed</w:t>
      </w:r>
      <w:proofErr w:type="gramEnd"/>
      <w:r>
        <w:t xml:space="preserve"> only to deepen the application of capabilities it already possessed, running whatever next subroutine showed the most success. That is evolution. The environmental, paleontological, mycological, and biochemical evidence converge on a single geographic region, the Cradle of Mankind, during the precise temporal window in which these evolutionary changes occurred.</w:t>
      </w:r>
      <w:bookmarkStart w:id="48" w:name="Xf8511b6b5a403abe748ac86eee1e66bd9beaa7f"/>
      <w:bookmarkEnd w:id="47"/>
      <w:r w:rsidR="00C70533">
        <w:br/>
      </w:r>
    </w:p>
    <w:p w14:paraId="3012AAAE" w14:textId="16567DA4" w:rsidR="00303C34" w:rsidRPr="00376C9E" w:rsidRDefault="006C3A6A" w:rsidP="00376C9E">
      <w:pPr>
        <w:pStyle w:val="BodyText"/>
        <w:spacing w:before="0" w:after="0"/>
        <w:jc w:val="center"/>
        <w:rPr>
          <w:rFonts w:asciiTheme="minorHAnsi" w:hAnsiTheme="minorHAnsi"/>
        </w:rPr>
      </w:pPr>
      <w:r w:rsidRPr="00376C9E">
        <w:rPr>
          <w:rFonts w:asciiTheme="minorHAnsi" w:hAnsiTheme="minorHAnsi"/>
          <w:sz w:val="16"/>
          <w:szCs w:val="16"/>
        </w:rPr>
        <w:t xml:space="preserve">The </w:t>
      </w:r>
      <w:hyperlink r:id="rId13" w:history="1">
        <w:r w:rsidRPr="00376C9E">
          <w:rPr>
            <w:rStyle w:val="Hyperlink"/>
            <w:rFonts w:asciiTheme="minorHAnsi" w:hAnsiTheme="minorHAnsi"/>
            <w:sz w:val="16"/>
            <w:szCs w:val="16"/>
          </w:rPr>
          <w:t xml:space="preserve">redaction </w:t>
        </w:r>
      </w:hyperlink>
      <w:r w:rsidRPr="00376C9E">
        <w:rPr>
          <w:rFonts w:asciiTheme="minorHAnsi" w:hAnsiTheme="minorHAnsi"/>
          <w:sz w:val="16"/>
          <w:szCs w:val="16"/>
        </w:rPr>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hyperlink r:id="rId14" w:history="1">
        <w:r w:rsidRPr="00376C9E">
          <w:rPr>
            <w:rStyle w:val="Hyperlink"/>
            <w:rFonts w:asciiTheme="minorHAnsi" w:hAnsiTheme="minorHAnsi"/>
            <w:sz w:val="16"/>
            <w:szCs w:val="16"/>
          </w:rPr>
          <w:t>investigated</w:t>
        </w:r>
      </w:hyperlink>
      <w:r w:rsidRPr="00376C9E">
        <w:rPr>
          <w:rFonts w:asciiTheme="minorHAnsi" w:hAnsiTheme="minorHAnsi"/>
          <w:sz w:val="16"/>
          <w:szCs w:val="16"/>
        </w:rPr>
        <w:t>. This author has seen the original science</w:t>
      </w:r>
      <w:r w:rsidR="00F60C3C" w:rsidRPr="00376C9E">
        <w:rPr>
          <w:rFonts w:asciiTheme="minorHAnsi" w:hAnsiTheme="minorHAnsi"/>
          <w:sz w:val="16"/>
          <w:szCs w:val="16"/>
        </w:rPr>
        <w:t>- i</w:t>
      </w:r>
      <w:r w:rsidRPr="00376C9E">
        <w:rPr>
          <w:rFonts w:asciiTheme="minorHAnsi" w:hAnsiTheme="minorHAnsi"/>
          <w:sz w:val="16"/>
          <w:szCs w:val="16"/>
        </w:rPr>
        <w:t>t exists</w:t>
      </w:r>
      <w:r w:rsidR="00F60C3C" w:rsidRPr="00376C9E">
        <w:rPr>
          <w:rFonts w:asciiTheme="minorHAnsi" w:hAnsiTheme="minorHAnsi"/>
          <w:sz w:val="16"/>
          <w:szCs w:val="16"/>
        </w:rPr>
        <w:t>.</w:t>
      </w:r>
      <w:r w:rsidR="00F60C3C" w:rsidRPr="00376C9E">
        <w:rPr>
          <w:rFonts w:asciiTheme="minorHAnsi" w:hAnsiTheme="minorHAnsi"/>
        </w:rPr>
        <w:br/>
        <w:t xml:space="preserve">Thus, this author is </w:t>
      </w:r>
      <w:r w:rsidR="00F60C3C" w:rsidRPr="00376C9E">
        <w:rPr>
          <w:rFonts w:asciiTheme="minorHAnsi" w:hAnsiTheme="minorHAnsi"/>
        </w:rPr>
        <w:t xml:space="preserve">content to leave the issues to the </w:t>
      </w:r>
      <w:r w:rsidR="00F60C3C" w:rsidRPr="00376C9E">
        <w:rPr>
          <w:rFonts w:asciiTheme="minorHAnsi" w:hAnsiTheme="minorHAnsi"/>
          <w:i/>
          <w:iCs/>
        </w:rPr>
        <w:t>verdict</w:t>
      </w:r>
      <w:r w:rsidR="00F60C3C" w:rsidRPr="00376C9E">
        <w:rPr>
          <w:rFonts w:asciiTheme="minorHAnsi" w:hAnsiTheme="minorHAnsi"/>
        </w:rPr>
        <w:t xml:space="preserve"> of history</w:t>
      </w:r>
    </w:p>
    <w:p w14:paraId="572AADED" w14:textId="2A442E54" w:rsidR="00F60C3C" w:rsidRPr="00376C9E" w:rsidRDefault="00000000">
      <w:pPr>
        <w:rPr>
          <w:rFonts w:asciiTheme="minorHAnsi" w:hAnsiTheme="minorHAnsi"/>
        </w:rPr>
      </w:pPr>
      <w:r w:rsidRPr="00376C9E">
        <w:rPr>
          <w:rFonts w:asciiTheme="minorHAnsi" w:hAnsiTheme="minorHAnsi"/>
        </w:rPr>
        <w:pict w14:anchorId="64E318A3">
          <v:rect id="_x0000_i1344" style="width:0;height:1.5pt" o:hralign="center" o:hrstd="t" o:hr="t"/>
        </w:pict>
      </w:r>
      <w:r w:rsidR="00F60C3C" w:rsidRPr="00376C9E">
        <w:rPr>
          <w:rFonts w:asciiTheme="minorHAnsi" w:hAnsiTheme="minorHAnsi"/>
        </w:rPr>
        <w:br/>
      </w:r>
    </w:p>
    <w:p w14:paraId="1B5F3956" w14:textId="4BDDCDCE" w:rsidR="00303C34" w:rsidRDefault="006C3A6A">
      <w:pPr>
        <w:pStyle w:val="Heading1"/>
      </w:pPr>
      <w:bookmarkStart w:id="49" w:name="references"/>
      <w:bookmarkEnd w:id="48"/>
      <w:r w:rsidRPr="00376C9E">
        <w:rPr>
          <w:rFonts w:asciiTheme="minorHAnsi" w:hAnsiTheme="minorHAnsi"/>
        </w:rPr>
        <w:lastRenderedPageBreak/>
        <w:t>Refer</w:t>
      </w:r>
      <w:r>
        <w:t>ences</w:t>
      </w:r>
      <w:bookmarkEnd w:id="49"/>
    </w:p>
    <w:p w14:paraId="307A65B1" w14:textId="79EA9194" w:rsidR="004E4628" w:rsidRDefault="004E4628" w:rsidP="004E4628">
      <w:pPr>
        <w:pStyle w:val="BodyText"/>
      </w:pPr>
      <w:r>
        <w:t xml:space="preserve">Acharya, N., et al. (2017). Endocannabinoid system acts as a regulator of immune homeostasis in the gut. Proceedings of the National Academy of Sciences, 114(19), 5005–5010. </w:t>
      </w:r>
      <w:hyperlink r:id="rId15" w:history="1">
        <w:r w:rsidRPr="009F7B45">
          <w:rPr>
            <w:rStyle w:val="Hyperlink"/>
          </w:rPr>
          <w:t>https://doi.org/10.1073/pnas.1612177114</w:t>
        </w:r>
      </w:hyperlink>
    </w:p>
    <w:p w14:paraId="14DACB54" w14:textId="5097270A" w:rsidR="004E4628" w:rsidRDefault="004E4628" w:rsidP="004E4628">
      <w:pPr>
        <w:pStyle w:val="BodyText"/>
      </w:pPr>
      <w:r>
        <w:t xml:space="preserve">Agarwal, S., et al. (2014). Arachidonic acid affects biofilm formation and PGE₂ level in Candida albicans and non-albicans species in presence of subinhibitory concentration of fluconazole and terbinafine. Brazilian Journal of Infectious Diseases, 18(3), 287–293. </w:t>
      </w:r>
      <w:hyperlink r:id="rId16" w:history="1">
        <w:r w:rsidRPr="009F7B45">
          <w:rPr>
            <w:rStyle w:val="Hyperlink"/>
          </w:rPr>
          <w:t>https://doi.org/10.1016/j.bjid.2013.09.006</w:t>
        </w:r>
      </w:hyperlink>
    </w:p>
    <w:p w14:paraId="1011D343" w14:textId="09949ADF" w:rsidR="004E4628" w:rsidRDefault="004E4628" w:rsidP="004E4628">
      <w:pPr>
        <w:pStyle w:val="BodyText"/>
      </w:pPr>
      <w:r>
        <w:t xml:space="preserve">Alem, M. A., &amp; Douglas, L. J. (2005). Prostaglandin production during growth of Candida albicans biofilms. Journal of Medical Microbiology, 54(11), 1001–1005. </w:t>
      </w:r>
      <w:hyperlink r:id="rId17" w:history="1">
        <w:r w:rsidRPr="009F7B45">
          <w:rPr>
            <w:rStyle w:val="Hyperlink"/>
          </w:rPr>
          <w:t>https://doi.org/10.1099/jmm.0.46172-0</w:t>
        </w:r>
      </w:hyperlink>
    </w:p>
    <w:p w14:paraId="04AA49F7" w14:textId="0943510C" w:rsidR="004E4628" w:rsidRDefault="004E4628" w:rsidP="004E4628">
      <w:pPr>
        <w:pStyle w:val="BodyText"/>
      </w:pPr>
      <w:r>
        <w:t xml:space="preserve">Ali, A., Jadhav, A., Jangid, P., et al. (2018). The human muscarinic acetylcholine receptor antagonist, dicyclomine targets signal transduction genes and inhibits the virulence factors in the human pathogen, Candida albicans. The Journal of Antibiotics, 71, 456–466. </w:t>
      </w:r>
      <w:hyperlink r:id="rId18" w:history="1">
        <w:r w:rsidRPr="009F7B45">
          <w:rPr>
            <w:rStyle w:val="Hyperlink"/>
          </w:rPr>
          <w:t>https://doi.org/10.1038/s41429-017-0009-8</w:t>
        </w:r>
      </w:hyperlink>
    </w:p>
    <w:p w14:paraId="374AFEE4" w14:textId="35D8D95E" w:rsidR="004E4628" w:rsidRDefault="004E4628" w:rsidP="004E4628">
      <w:pPr>
        <w:pStyle w:val="BodyText"/>
      </w:pPr>
      <w:r>
        <w:t xml:space="preserve">Alonso-Monge, R., Gresnigt, M. S., Román, E., Hube, B., &amp; Pla, J. (2021). Candida albicans colonization of the gastrointestinal tract: A double-edged sword. </w:t>
      </w:r>
      <w:proofErr w:type="spellStart"/>
      <w:r>
        <w:t>PLoS</w:t>
      </w:r>
      <w:proofErr w:type="spellEnd"/>
      <w:r>
        <w:t xml:space="preserve"> Pathogens, 17(7), Article e1009710. </w:t>
      </w:r>
      <w:hyperlink r:id="rId19" w:history="1">
        <w:r w:rsidRPr="009F7B45">
          <w:rPr>
            <w:rStyle w:val="Hyperlink"/>
          </w:rPr>
          <w:t>https://doi.org/10.1371/journal.ppat.1009710</w:t>
        </w:r>
      </w:hyperlink>
    </w:p>
    <w:p w14:paraId="3D51A9C7" w14:textId="5A9B7BE5" w:rsidR="004E4628" w:rsidRDefault="004E4628" w:rsidP="004E4628">
      <w:pPr>
        <w:pStyle w:val="BodyText"/>
      </w:pPr>
      <w:r>
        <w:t xml:space="preserve">Arc Institute. (2025). Evo 2: Genome modeling and design across all domains of life. bioRxiv. </w:t>
      </w:r>
      <w:hyperlink r:id="rId20" w:history="1">
        <w:r w:rsidRPr="009F7B45">
          <w:rPr>
            <w:rStyle w:val="Hyperlink"/>
          </w:rPr>
          <w:t>https://doi.org/10.1101/2025.02.18.638918</w:t>
        </w:r>
      </w:hyperlink>
      <w:r>
        <w:t xml:space="preserve"> [Subsequently published in Nature, 2026 as </w:t>
      </w:r>
      <w:hyperlink r:id="rId21" w:history="1">
        <w:r w:rsidR="009F7B45" w:rsidRPr="001263DC">
          <w:rPr>
            <w:rStyle w:val="Hyperlink"/>
          </w:rPr>
          <w:t>https://doi.org/10.1038/s41586-026-10176-</w:t>
        </w:r>
      </w:hyperlink>
      <w:r>
        <w:t>5]</w:t>
      </w:r>
    </w:p>
    <w:p w14:paraId="033CFFBB" w14:textId="6D8D73F5" w:rsidR="00C11D26" w:rsidRDefault="004E4628" w:rsidP="004E4628">
      <w:pPr>
        <w:pStyle w:val="BodyText"/>
      </w:pPr>
      <w:r>
        <w:t xml:space="preserve">Askew, C., Sellam, A., Epp, E., Hogues, H., Mullick, A., Nantel, A., &amp; Whiteway, M. (2009). Transcriptional regulation of carbohydrate metabolism in the human pathogen Candida albicans. </w:t>
      </w:r>
      <w:proofErr w:type="spellStart"/>
      <w:r>
        <w:t>PLoS</w:t>
      </w:r>
      <w:proofErr w:type="spellEnd"/>
      <w:r>
        <w:t xml:space="preserve"> Pathogens, 5(10), Article e1000612. </w:t>
      </w:r>
      <w:hyperlink r:id="rId22" w:history="1">
        <w:r w:rsidR="00C11D26" w:rsidRPr="001263DC">
          <w:rPr>
            <w:rStyle w:val="Hyperlink"/>
          </w:rPr>
          <w:t>https://doi.org/10.1371/journal.ppat.1000612</w:t>
        </w:r>
      </w:hyperlink>
    </w:p>
    <w:p w14:paraId="76AA8616" w14:textId="1457B164" w:rsidR="00C11D26" w:rsidRDefault="004E4628" w:rsidP="004E4628">
      <w:pPr>
        <w:pStyle w:val="BodyText"/>
      </w:pPr>
      <w:r>
        <w:t xml:space="preserve">Augustyniak, D., </w:t>
      </w:r>
      <w:proofErr w:type="spellStart"/>
      <w:r>
        <w:t>Kramarska</w:t>
      </w:r>
      <w:proofErr w:type="spellEnd"/>
      <w:r>
        <w:t xml:space="preserve">, E., Mackiewicz, P., Olszak, T., &amp; Weber-Dabrowska, B. (2021). Mammalian neuropeptides as modulators of microbial infections: Their dual role in defense versus virulence and pathogenesis. International Journal of Molecular Sciences, 22(7), Article 3658. </w:t>
      </w:r>
      <w:hyperlink r:id="rId23" w:history="1">
        <w:r w:rsidR="00C11D26" w:rsidRPr="001263DC">
          <w:rPr>
            <w:rStyle w:val="Hyperlink"/>
          </w:rPr>
          <w:t>https://doi.org/10.3390/ijms22073658</w:t>
        </w:r>
      </w:hyperlink>
    </w:p>
    <w:p w14:paraId="6AA34BEB" w14:textId="538D8169" w:rsidR="00C11D26" w:rsidRDefault="004E4628" w:rsidP="004E4628">
      <w:pPr>
        <w:pStyle w:val="BodyText"/>
      </w:pPr>
      <w:r>
        <w:t xml:space="preserve">Bader, O., </w:t>
      </w:r>
      <w:proofErr w:type="spellStart"/>
      <w:r>
        <w:t>Krauke</w:t>
      </w:r>
      <w:proofErr w:type="spellEnd"/>
      <w:r>
        <w:t xml:space="preserve">, Y., &amp; Hube, B. (2008). Processing of predicted substrates of fungal Kex2 proteinases from Candida albicans, C. glabrata, Saccharomyces cerevisiae and Pichia pastoris. BMC Microbiology, 8, Article 116. </w:t>
      </w:r>
      <w:hyperlink r:id="rId24" w:history="1">
        <w:r w:rsidR="00C11D26" w:rsidRPr="001263DC">
          <w:rPr>
            <w:rStyle w:val="Hyperlink"/>
          </w:rPr>
          <w:t>https://doi.org/10.1186/1471-2180-8-116</w:t>
        </w:r>
      </w:hyperlink>
    </w:p>
    <w:p w14:paraId="3D3C82F9" w14:textId="439FF5BE" w:rsidR="00C11D26" w:rsidRDefault="004E4628" w:rsidP="004E4628">
      <w:pPr>
        <w:pStyle w:val="BodyText"/>
      </w:pPr>
      <w:r>
        <w:t xml:space="preserve">Ballou, E. R., Avelar, G. M., Childers, D. S., Mackie, J., Bain, J. M., Wagener, J., et al. (2016). Lactate </w:t>
      </w:r>
      <w:proofErr w:type="spellStart"/>
      <w:r>
        <w:t>signalling</w:t>
      </w:r>
      <w:proofErr w:type="spellEnd"/>
      <w:r>
        <w:t xml:space="preserve"> regulates fungal β-glucan masking and immune evasion. Nature Microbiology, 2, Article 16238. </w:t>
      </w:r>
      <w:hyperlink r:id="rId25" w:history="1">
        <w:r w:rsidR="00C11D26" w:rsidRPr="001263DC">
          <w:rPr>
            <w:rStyle w:val="Hyperlink"/>
          </w:rPr>
          <w:t>https://doi.org/10.1038/nmicrobiol.2016.238</w:t>
        </w:r>
      </w:hyperlink>
    </w:p>
    <w:p w14:paraId="7A162B96" w14:textId="596971B8" w:rsidR="00C11D26" w:rsidRDefault="004E4628" w:rsidP="004E4628">
      <w:pPr>
        <w:pStyle w:val="BodyText"/>
      </w:pPr>
      <w:proofErr w:type="spellStart"/>
      <w:r>
        <w:t>Barelle</w:t>
      </w:r>
      <w:proofErr w:type="spellEnd"/>
      <w:r>
        <w:t xml:space="preserve">, C. J., Priest, C. L., </w:t>
      </w:r>
      <w:proofErr w:type="spellStart"/>
      <w:r>
        <w:t>Maccallum</w:t>
      </w:r>
      <w:proofErr w:type="spellEnd"/>
      <w:r>
        <w:t xml:space="preserve">, D. M., Gow, N. A. R., Odds, F. C., &amp; Brown, A. J. P. (2006). Niche-specific regulation of central metabolic pathways in a fungal pathogen. Cellular Microbiology, 8(6), 961–971. </w:t>
      </w:r>
      <w:hyperlink r:id="rId26" w:history="1">
        <w:r w:rsidR="00C11D26" w:rsidRPr="001263DC">
          <w:rPr>
            <w:rStyle w:val="Hyperlink"/>
          </w:rPr>
          <w:t>https://doi.org/10.1111/j.1462-5822.2005.00676.x</w:t>
        </w:r>
      </w:hyperlink>
    </w:p>
    <w:p w14:paraId="34F85BDE" w14:textId="03E81910" w:rsidR="00C11D26" w:rsidRDefault="004E4628" w:rsidP="004E4628">
      <w:pPr>
        <w:pStyle w:val="BodyText"/>
      </w:pPr>
      <w:r>
        <w:lastRenderedPageBreak/>
        <w:t xml:space="preserve">Bartelli, T. F., Bruno, D. C. F., &amp; Briones, M. R. S. (2018). Evidence for mitochondrial genome methylation in the yeast Candida albicans: A potential novel epigenetic mechanism affecting adaptation and pathogenicity? Frontiers in Genetics, 9, Article 166. </w:t>
      </w:r>
      <w:hyperlink r:id="rId27" w:history="1">
        <w:r w:rsidR="00C11D26" w:rsidRPr="001263DC">
          <w:rPr>
            <w:rStyle w:val="Hyperlink"/>
          </w:rPr>
          <w:t>https://doi.org/10.3389/fgene.2018.00166</w:t>
        </w:r>
      </w:hyperlink>
    </w:p>
    <w:p w14:paraId="430A7ED6" w14:textId="4DF52E1C" w:rsidR="00C23559" w:rsidRDefault="00C23559" w:rsidP="004E4628">
      <w:pPr>
        <w:pStyle w:val="BodyText"/>
      </w:pPr>
      <w:r w:rsidRPr="00C23559">
        <w:t xml:space="preserve">Berger, A., &amp; Loutre, M. F. (1991). Insolation values for the climate of the last 10 million years. Quaternary Science Reviews, 10(4), 297–317. </w:t>
      </w:r>
      <w:hyperlink r:id="rId28" w:history="1">
        <w:r w:rsidRPr="00C23559">
          <w:rPr>
            <w:rStyle w:val="Hyperlink"/>
          </w:rPr>
          <w:t>https://doi.org/10.1016/0277-3791(91)90033-Q</w:t>
        </w:r>
      </w:hyperlink>
    </w:p>
    <w:p w14:paraId="11AC3385" w14:textId="1B97E6CA" w:rsidR="00C23559" w:rsidRDefault="00C23559" w:rsidP="004E4628">
      <w:pPr>
        <w:pStyle w:val="BodyText"/>
      </w:pPr>
      <w:r w:rsidRPr="00C23559">
        <w:t xml:space="preserve">Bergner, A. G. N., Trauth, M. H., &amp; </w:t>
      </w:r>
      <w:proofErr w:type="spellStart"/>
      <w:r w:rsidRPr="00C23559">
        <w:t>Bookhagen</w:t>
      </w:r>
      <w:proofErr w:type="spellEnd"/>
      <w:r w:rsidRPr="00C23559">
        <w:t xml:space="preserve">, B. (2003). Magnitude of precipitation/evaporation changes in the Naivasha Basin (Kenya) during the last 150 </w:t>
      </w:r>
      <w:proofErr w:type="spellStart"/>
      <w:r w:rsidRPr="00C23559">
        <w:t>kyrs</w:t>
      </w:r>
      <w:proofErr w:type="spellEnd"/>
      <w:r w:rsidRPr="00C23559">
        <w:t xml:space="preserve">. Global and Planetary Change, 36(1–2), 117–135. </w:t>
      </w:r>
      <w:hyperlink r:id="rId29" w:history="1">
        <w:r w:rsidRPr="00C23559">
          <w:rPr>
            <w:rStyle w:val="Hyperlink"/>
          </w:rPr>
          <w:t>https://doi.org/10.1016/S0921-8181(02)00178-9</w:t>
        </w:r>
      </w:hyperlink>
    </w:p>
    <w:p w14:paraId="768FB6A7" w14:textId="6CAFF289" w:rsidR="00C11D26" w:rsidRDefault="004E4628" w:rsidP="004E4628">
      <w:pPr>
        <w:pStyle w:val="BodyText"/>
      </w:pPr>
      <w:r>
        <w:t xml:space="preserve">Bhatt, S., et al. (2024). Na⁺/K⁺-ATPase: More than an electrogenic pump. International Journal of Molecular Sciences, 25(11), Article 6122. </w:t>
      </w:r>
      <w:hyperlink r:id="rId30" w:history="1">
        <w:r w:rsidR="00C11D26" w:rsidRPr="001263DC">
          <w:rPr>
            <w:rStyle w:val="Hyperlink"/>
          </w:rPr>
          <w:t>https://doi.org/10.3390/ijms25116122</w:t>
        </w:r>
      </w:hyperlink>
    </w:p>
    <w:p w14:paraId="7D74F9AF" w14:textId="1FF0DE5F" w:rsidR="004E4628" w:rsidRDefault="004E4628" w:rsidP="004E4628">
      <w:pPr>
        <w:pStyle w:val="BodyText"/>
      </w:pPr>
      <w:r>
        <w:t>Bramley, T. A., Menzies, G. S., Williams, R. J., Adams, D. J., &amp; Kinsman, O. S. (1990). Specific, high-affinity binding sites for human luteinizing hormone (</w:t>
      </w:r>
      <w:proofErr w:type="spellStart"/>
      <w:r>
        <w:t>hLH</w:t>
      </w:r>
      <w:proofErr w:type="spellEnd"/>
      <w:r>
        <w:t>) and human chorionic gonadotrophin (</w:t>
      </w:r>
      <w:proofErr w:type="spellStart"/>
      <w:r>
        <w:t>hCG</w:t>
      </w:r>
      <w:proofErr w:type="spellEnd"/>
      <w:r>
        <w:t>) in Candida species. Biochemical and Biophysical Research Communications, 167(3), 1050–1056.</w:t>
      </w:r>
    </w:p>
    <w:p w14:paraId="6E141F78" w14:textId="77777777" w:rsidR="004E4628" w:rsidRDefault="004E4628" w:rsidP="004E4628">
      <w:pPr>
        <w:pStyle w:val="BodyText"/>
      </w:pPr>
      <w:r>
        <w:t>Bramley, T. A., Menzies, G. S., Williams, R. J., Kinsman, O. S., &amp; Adams, D. J. (1991). Binding sites for LH in Candida albicans: Comparison with the mammalian corpus luteum LH receptor. Journal of Endocrinology, 130(1), 177–190.</w:t>
      </w:r>
    </w:p>
    <w:p w14:paraId="73DABF7E" w14:textId="72AA875F" w:rsidR="00C11D26" w:rsidRDefault="004E4628" w:rsidP="004E4628">
      <w:pPr>
        <w:pStyle w:val="BodyText"/>
      </w:pPr>
      <w:r>
        <w:t xml:space="preserve">Brogden, K. A., Guthmiller, J. M., </w:t>
      </w:r>
      <w:proofErr w:type="spellStart"/>
      <w:r>
        <w:t>Salzet</w:t>
      </w:r>
      <w:proofErr w:type="spellEnd"/>
      <w:r>
        <w:t xml:space="preserve">, M., &amp; Zasloff, M. (2005). The nervous system and innate immunity: The neuropeptide connection. Nature Immunology, 6(6), 558–564. </w:t>
      </w:r>
      <w:hyperlink r:id="rId31" w:history="1">
        <w:r w:rsidR="00C11D26" w:rsidRPr="001263DC">
          <w:rPr>
            <w:rStyle w:val="Hyperlink"/>
          </w:rPr>
          <w:t>https://doi.org/10.1038/ni1209</w:t>
        </w:r>
      </w:hyperlink>
    </w:p>
    <w:p w14:paraId="1BE32ABA" w14:textId="1DF5A57F" w:rsidR="00C11D26" w:rsidRDefault="004E4628" w:rsidP="004E4628">
      <w:pPr>
        <w:pStyle w:val="BodyText"/>
      </w:pPr>
      <w:r>
        <w:t xml:space="preserve">Brown, F., Harris, J., Leakey, R., &amp; Walker, A. (1985). Early Homo erectus skeleton from west Lake Turkana, Kenya. Nature, 316(6031), 788–792. </w:t>
      </w:r>
      <w:hyperlink r:id="rId32" w:history="1">
        <w:r w:rsidR="00C11D26" w:rsidRPr="001263DC">
          <w:rPr>
            <w:rStyle w:val="Hyperlink"/>
          </w:rPr>
          <w:t>https://doi.org/10.1038/316788a0</w:t>
        </w:r>
      </w:hyperlink>
    </w:p>
    <w:p w14:paraId="21AF7C00" w14:textId="05F82654" w:rsidR="00C11D26" w:rsidRDefault="004E4628" w:rsidP="004E4628">
      <w:pPr>
        <w:pStyle w:val="BodyText"/>
      </w:pPr>
      <w:r>
        <w:t xml:space="preserve">Brown, V., Sexton, J. A., &amp; Johnston, M. (2006). A glucose sensor in Candida albicans. Eukaryotic Cell, 5(10), 1726–1737. </w:t>
      </w:r>
      <w:hyperlink r:id="rId33" w:history="1">
        <w:r w:rsidR="00C11D26" w:rsidRPr="001263DC">
          <w:rPr>
            <w:rStyle w:val="Hyperlink"/>
          </w:rPr>
          <w:t>https://doi.org/10.1128/EC.00186-06</w:t>
        </w:r>
      </w:hyperlink>
    </w:p>
    <w:p w14:paraId="50D59225" w14:textId="1548B75F" w:rsidR="00C11D26" w:rsidRDefault="004E4628" w:rsidP="004E4628">
      <w:pPr>
        <w:pStyle w:val="BodyText"/>
      </w:pPr>
      <w:r>
        <w:t xml:space="preserve">Buck, A. H., Coakley, G., Simbari, F., et al. (2014). Exosomes secreted by nematode parasites transfer small RNAs to mammalian cells and modulate innate immunity. Nature Communications, 5, Article 5488. </w:t>
      </w:r>
      <w:hyperlink r:id="rId34" w:history="1">
        <w:r w:rsidR="00C11D26" w:rsidRPr="001263DC">
          <w:rPr>
            <w:rStyle w:val="Hyperlink"/>
          </w:rPr>
          <w:t>https://doi.org/10.1038/ncomms6488</w:t>
        </w:r>
      </w:hyperlink>
    </w:p>
    <w:p w14:paraId="0B7F224B" w14:textId="774C9AA5" w:rsidR="00C11D26" w:rsidRDefault="004E4628" w:rsidP="004E4628">
      <w:pPr>
        <w:pStyle w:val="BodyText"/>
      </w:pPr>
      <w:r>
        <w:t xml:space="preserve">Butler, G., et al. (2009). Evolution of pathogenicity and sexual reproduction in eight Candida genomes. Nature, 459(7247), 657–662. </w:t>
      </w:r>
      <w:hyperlink r:id="rId35" w:history="1">
        <w:r w:rsidR="00C11D26" w:rsidRPr="001263DC">
          <w:rPr>
            <w:rStyle w:val="Hyperlink"/>
          </w:rPr>
          <w:t>https://doi.org/10.1038/nature08064</w:t>
        </w:r>
      </w:hyperlink>
    </w:p>
    <w:p w14:paraId="00736380" w14:textId="7F556E8D" w:rsidR="004E4628" w:rsidRDefault="004E4628" w:rsidP="004E4628">
      <w:pPr>
        <w:pStyle w:val="BodyText"/>
      </w:pPr>
      <w:r>
        <w:t xml:space="preserve">Cai, Q., Qiao, L., Wang, M., et al. (2018). Plants send small RNAs in extracellular vesicles to fungal </w:t>
      </w:r>
      <w:proofErr w:type="gramStart"/>
      <w:r>
        <w:t>pathogen</w:t>
      </w:r>
      <w:proofErr w:type="gramEnd"/>
      <w:r>
        <w:t xml:space="preserve"> to silence </w:t>
      </w:r>
      <w:proofErr w:type="gramStart"/>
      <w:r>
        <w:t>virulence</w:t>
      </w:r>
      <w:proofErr w:type="gramEnd"/>
      <w:r>
        <w:t xml:space="preserve"> genes. Science, 360(6393), 1126–1129. </w:t>
      </w:r>
      <w:hyperlink r:id="rId36" w:history="1">
        <w:r w:rsidR="00C11D26" w:rsidRPr="001263DC">
          <w:rPr>
            <w:rStyle w:val="Hyperlink"/>
          </w:rPr>
          <w:t>https://doi.org/10.1126/science.aar4142</w:t>
        </w:r>
      </w:hyperlink>
    </w:p>
    <w:p w14:paraId="04D9D940" w14:textId="304CD9CD" w:rsidR="00C11D26" w:rsidRDefault="00C11D26" w:rsidP="004E4628">
      <w:pPr>
        <w:pStyle w:val="BodyText"/>
      </w:pPr>
      <w:r w:rsidRPr="00C11D26">
        <w:t xml:space="preserve">Castro, M., Ralston, N. V. C., Morgenthaler, T. I., Rohrbach, M. S., &amp; Limper, A. H. (1994). Candida albicans </w:t>
      </w:r>
      <w:proofErr w:type="gramStart"/>
      <w:r w:rsidRPr="00C11D26">
        <w:t>stimulates</w:t>
      </w:r>
      <w:proofErr w:type="gramEnd"/>
      <w:r w:rsidRPr="00C11D26">
        <w:t xml:space="preserve"> arachidonic acid liberation from alveolar macrophages through alpha-mannan and beta-glucan cell wall components. Infection and Immunity, 62(8), 3138–3145. </w:t>
      </w:r>
      <w:hyperlink r:id="rId37" w:history="1">
        <w:r w:rsidRPr="00C11D26">
          <w:rPr>
            <w:rStyle w:val="Hyperlink"/>
          </w:rPr>
          <w:t>https://doi.org/10.1128/iai.62.8.3138-3145.1994</w:t>
        </w:r>
      </w:hyperlink>
      <w:r w:rsidRPr="00C11D26">
        <w:t xml:space="preserve"> (PMC302938)</w:t>
      </w:r>
    </w:p>
    <w:p w14:paraId="1AA00C31" w14:textId="2D2BD011" w:rsidR="004E4628" w:rsidRDefault="004E4628" w:rsidP="004E4628">
      <w:pPr>
        <w:pStyle w:val="BodyText"/>
      </w:pPr>
      <w:r>
        <w:lastRenderedPageBreak/>
        <w:t>Chen, Y., et al. (2022). Integrative functional analysis uncovers metabolic differences between Candida species. Communications Biology, 5, Article 955.</w:t>
      </w:r>
    </w:p>
    <w:p w14:paraId="71F3C487" w14:textId="1EFD4D12" w:rsidR="004E4628" w:rsidRDefault="004E4628" w:rsidP="004E4628">
      <w:pPr>
        <w:pStyle w:val="BodyText"/>
      </w:pPr>
      <w:r>
        <w:t xml:space="preserve">Chen, Y., et al. (2025). Coordinated regulation of pH alkalinization by two transcription factors promotes fungal commensalism and pathogenicity. Nature Communications, 16, Article 7512. </w:t>
      </w:r>
      <w:hyperlink r:id="rId38" w:history="1">
        <w:r w:rsidR="00C11D26" w:rsidRPr="001263DC">
          <w:rPr>
            <w:rStyle w:val="Hyperlink"/>
          </w:rPr>
          <w:t>https://doi.org/10.1038/s41467-025-62953-x</w:t>
        </w:r>
      </w:hyperlink>
    </w:p>
    <w:p w14:paraId="37CF15EE" w14:textId="4C3B5ABE" w:rsidR="00C11D26" w:rsidRDefault="00C11D26" w:rsidP="004E4628">
      <w:pPr>
        <w:pStyle w:val="BodyText"/>
      </w:pPr>
      <w:r w:rsidRPr="00C11D26">
        <w:t xml:space="preserve">Cheng, S. C., van de Veerdonk, F. L., </w:t>
      </w:r>
      <w:proofErr w:type="spellStart"/>
      <w:r w:rsidRPr="00C11D26">
        <w:t>Smeekens</w:t>
      </w:r>
      <w:proofErr w:type="spellEnd"/>
      <w:r w:rsidRPr="00C11D26">
        <w:t xml:space="preserve">, S., Joosten, L. A. B., van der Meer, J. W. M., Kullberg, B. J., &amp; </w:t>
      </w:r>
      <w:proofErr w:type="spellStart"/>
      <w:r w:rsidRPr="00C11D26">
        <w:t>Netea</w:t>
      </w:r>
      <w:proofErr w:type="spellEnd"/>
      <w:r w:rsidRPr="00C11D26">
        <w:t xml:space="preserve">, M. G. (2010). Candida albicans dampens host defense by downregulating IL-17 production. The Journal of Immunology, 185(4), 2450–2457. </w:t>
      </w:r>
      <w:hyperlink r:id="rId39" w:history="1">
        <w:r w:rsidRPr="00C11D26">
          <w:rPr>
            <w:rStyle w:val="Hyperlink"/>
          </w:rPr>
          <w:t>https://doi.org/10.4049/jimmunol.1000756</w:t>
        </w:r>
      </w:hyperlink>
    </w:p>
    <w:p w14:paraId="38300D45" w14:textId="272B00EC" w:rsidR="00C11D26" w:rsidRDefault="004E4628" w:rsidP="004E4628">
      <w:pPr>
        <w:pStyle w:val="BodyText"/>
      </w:pPr>
      <w:r>
        <w:t xml:space="preserve">Chorowicz, J. (2005). The East African rift system. Journal of African Earth Sciences, 43(1–3), 379–410. </w:t>
      </w:r>
      <w:hyperlink r:id="rId40" w:history="1">
        <w:r w:rsidR="00C11D26" w:rsidRPr="001263DC">
          <w:rPr>
            <w:rStyle w:val="Hyperlink"/>
          </w:rPr>
          <w:t>https://doi.org/10.1016/j.jafrearsci.2005.07.019</w:t>
        </w:r>
      </w:hyperlink>
    </w:p>
    <w:p w14:paraId="3C64936B" w14:textId="3BE76C3C" w:rsidR="004E4628" w:rsidRDefault="004E4628" w:rsidP="004E4628">
      <w:pPr>
        <w:pStyle w:val="BodyText"/>
      </w:pPr>
      <w:r>
        <w:t xml:space="preserve">Christensen, R., Kristensen, P. K., Bartels, E. M., Bliddal, H., &amp; Astrup, A. (2007). Efficacy and safety of the weight-loss drug rimonabant: A meta-analysis of </w:t>
      </w:r>
      <w:proofErr w:type="spellStart"/>
      <w:r>
        <w:t>randomised</w:t>
      </w:r>
      <w:proofErr w:type="spellEnd"/>
      <w:r>
        <w:t xml:space="preserve"> trials. The Lancet, 370(9600), 1706–1713.</w:t>
      </w:r>
    </w:p>
    <w:p w14:paraId="15352DDD" w14:textId="77777777" w:rsidR="004E4628" w:rsidRDefault="004E4628" w:rsidP="004E4628">
      <w:pPr>
        <w:pStyle w:val="BodyText"/>
      </w:pPr>
      <w:r>
        <w:t>Craddock, J. (2013). Unpublished clinical summary and article recollection. Personal archive.</w:t>
      </w:r>
    </w:p>
    <w:p w14:paraId="01F984B7" w14:textId="50BBA95B" w:rsidR="00C23559" w:rsidRDefault="00C23559" w:rsidP="004E4628">
      <w:pPr>
        <w:pStyle w:val="BodyText"/>
      </w:pPr>
      <w:r w:rsidRPr="00C23559">
        <w:t>Craddock, J. (2026</w:t>
      </w:r>
      <w:r w:rsidR="009B06E6">
        <w:t>a</w:t>
      </w:r>
      <w:r w:rsidRPr="00C23559">
        <w:t xml:space="preserve">). Candida albicans as a Biochemical Computer: Cross-Kingdom Signaling, Parasexual Reproduction, and Genetic Foundations of a Unique Fungal Symbiont. </w:t>
      </w:r>
      <w:proofErr w:type="spellStart"/>
      <w:r w:rsidRPr="00C23559">
        <w:t>Zenodo</w:t>
      </w:r>
      <w:proofErr w:type="spellEnd"/>
      <w:r w:rsidRPr="00C23559">
        <w:t>. </w:t>
      </w:r>
      <w:hyperlink r:id="rId41" w:tgtFrame="_blank" w:history="1">
        <w:r w:rsidRPr="00C23559">
          <w:rPr>
            <w:rStyle w:val="Hyperlink"/>
          </w:rPr>
          <w:t>https://doi.org/10.5281/zenodo.19337526</w:t>
        </w:r>
      </w:hyperlink>
    </w:p>
    <w:p w14:paraId="44CB4122" w14:textId="77777777" w:rsidR="004E4628" w:rsidRDefault="004E4628" w:rsidP="004E4628">
      <w:pPr>
        <w:pStyle w:val="BodyText"/>
      </w:pPr>
      <w:r>
        <w:t>Craddock, J. (2022). Terminal onset diabetes insipidus with candidiasis: A longitudinal case study. jimcraddock.com. January 2022.</w:t>
      </w:r>
    </w:p>
    <w:p w14:paraId="296BFB41" w14:textId="5CA50921" w:rsidR="004E4628" w:rsidRDefault="004E4628" w:rsidP="004E4628">
      <w:pPr>
        <w:pStyle w:val="BodyText"/>
      </w:pPr>
      <w:r>
        <w:t>Craddock, J. (</w:t>
      </w:r>
      <w:r w:rsidR="009B06E6">
        <w:t>2026b)</w:t>
      </w:r>
      <w:r>
        <w:t xml:space="preserve">. Redacted science: The pan-mammalian </w:t>
      </w:r>
      <w:r w:rsidR="00DD6777">
        <w:t>coevolution</w:t>
      </w:r>
      <w:r>
        <w:t xml:space="preserve"> hypothesis. Substack. Published March 2026.</w:t>
      </w:r>
    </w:p>
    <w:p w14:paraId="4D44BF4C" w14:textId="03737F21" w:rsidR="004E4628" w:rsidRDefault="004E4628" w:rsidP="004E4628">
      <w:pPr>
        <w:pStyle w:val="BodyText"/>
      </w:pPr>
      <w:r>
        <w:t>Craddock, J. (</w:t>
      </w:r>
      <w:r w:rsidR="009B06E6">
        <w:t>2026c)</w:t>
      </w:r>
      <w:r>
        <w:t xml:space="preserve">. Redacted science [Book]. Distributed via IPFS, </w:t>
      </w:r>
      <w:proofErr w:type="spellStart"/>
      <w:r>
        <w:t>Nostr</w:t>
      </w:r>
      <w:proofErr w:type="spellEnd"/>
      <w:r>
        <w:t xml:space="preserve">, </w:t>
      </w:r>
      <w:hyperlink r:id="rId42" w:history="1">
        <w:r w:rsidRPr="008E7F6E">
          <w:rPr>
            <w:rStyle w:val="Hyperlink"/>
          </w:rPr>
          <w:t>redactedscience.org</w:t>
        </w:r>
      </w:hyperlink>
      <w:r>
        <w:t>. CID: bafybeidq7u7xbs526xvml6s6pbwq43rh7k5bzdrgkwlovwhw5oq2vhdrja</w:t>
      </w:r>
    </w:p>
    <w:p w14:paraId="7BBA4DA2" w14:textId="77777777" w:rsidR="004E4628" w:rsidRDefault="004E4628" w:rsidP="004E4628">
      <w:pPr>
        <w:pStyle w:val="BodyText"/>
      </w:pPr>
      <w:r>
        <w:t>Crawford, G. W. (2006). East Asian plant domestication. In M. T. Stark (Ed.), Archaeology of Asia (pp. 77–95). Blackwell.</w:t>
      </w:r>
    </w:p>
    <w:p w14:paraId="20BF47CE" w14:textId="77777777" w:rsidR="004E4628" w:rsidRDefault="004E4628" w:rsidP="004E4628">
      <w:pPr>
        <w:pStyle w:val="BodyText"/>
      </w:pPr>
      <w:r>
        <w:t>Cugini, C., et al. (2007). Farnesol, a common sesquiterpene, inhibits PQS production in Pseudomonas aeruginosa. Molecular Microbiology, 65(4), 896–906.</w:t>
      </w:r>
    </w:p>
    <w:p w14:paraId="5988A858" w14:textId="77777777" w:rsidR="004E4628" w:rsidRDefault="004E4628" w:rsidP="004E4628">
      <w:pPr>
        <w:pStyle w:val="BodyText"/>
      </w:pPr>
      <w:r>
        <w:t>Cunnane, S. C. (2005). Survival of the fattest: The key to human brain evolution. World Scientific Publishing.</w:t>
      </w:r>
    </w:p>
    <w:p w14:paraId="691214F1" w14:textId="5738CF0F" w:rsidR="00C11D26" w:rsidRDefault="004E4628" w:rsidP="004E4628">
      <w:pPr>
        <w:pStyle w:val="BodyText"/>
      </w:pPr>
      <w:r>
        <w:t xml:space="preserve">Danhof, H. A., et al. (2016). Robust extracellular pH modulation by Candida albicans during growth in carboxylic acids. mBio, 7(6), Article e01646-16. </w:t>
      </w:r>
      <w:hyperlink r:id="rId43" w:history="1">
        <w:r w:rsidR="00C11D26" w:rsidRPr="001263DC">
          <w:rPr>
            <w:rStyle w:val="Hyperlink"/>
          </w:rPr>
          <w:t>https://doi.org/10.1128/mBio.01646-16</w:t>
        </w:r>
      </w:hyperlink>
    </w:p>
    <w:p w14:paraId="6D6C31EE" w14:textId="1F99C472" w:rsidR="004E4628" w:rsidRDefault="004E4628" w:rsidP="004E4628">
      <w:pPr>
        <w:pStyle w:val="BodyText"/>
      </w:pPr>
      <w:r>
        <w:lastRenderedPageBreak/>
        <w:t>De Petrocellis, L., et al. (1999). The endogenous cannabinoid anandamide inhibits human breast cancer cell proliferation. Proceedings of the National Academy of Sciences, 96(14), 8369–8374.</w:t>
      </w:r>
    </w:p>
    <w:p w14:paraId="046D6B7C" w14:textId="2CC217A2" w:rsidR="00C23559" w:rsidRDefault="00C23559" w:rsidP="00C23559">
      <w:pPr>
        <w:pStyle w:val="BodyText"/>
      </w:pPr>
      <w:r w:rsidRPr="00C23559">
        <w:t xml:space="preserve">Deino, A. L., Kingston, J. D., Glen, J. M., Edgar, R. K., &amp; Hill, A. (2006). </w:t>
      </w:r>
      <w:proofErr w:type="spellStart"/>
      <w:r w:rsidRPr="00C23559">
        <w:t>Precessional</w:t>
      </w:r>
      <w:proofErr w:type="spellEnd"/>
      <w:r w:rsidRPr="00C23559">
        <w:t xml:space="preserve"> forcing of lacustrine sedimentation in the Late Cenozoic </w:t>
      </w:r>
      <w:proofErr w:type="spellStart"/>
      <w:r w:rsidRPr="00C23559">
        <w:t>Chemeron</w:t>
      </w:r>
      <w:proofErr w:type="spellEnd"/>
      <w:r w:rsidRPr="00C23559">
        <w:t xml:space="preserve"> Basin, Central Kenya Rift, and calibration of the Gauss/</w:t>
      </w:r>
      <w:proofErr w:type="spellStart"/>
      <w:r w:rsidRPr="00C23559">
        <w:t>Matuyama</w:t>
      </w:r>
      <w:proofErr w:type="spellEnd"/>
      <w:r w:rsidRPr="00C23559">
        <w:t xml:space="preserve"> boundary. Earth and Planetary Science Letters, 247(1–2), 41–60. </w:t>
      </w:r>
      <w:hyperlink r:id="rId44" w:history="1">
        <w:r w:rsidRPr="00C23559">
          <w:rPr>
            <w:rStyle w:val="Hyperlink"/>
          </w:rPr>
          <w:t>https://doi.org/10.1016/j.epsl.2006.04.009</w:t>
        </w:r>
      </w:hyperlink>
    </w:p>
    <w:p w14:paraId="6425A808" w14:textId="5C4C2B62" w:rsidR="00C11D26" w:rsidRDefault="004E4628" w:rsidP="004E4628">
      <w:pPr>
        <w:pStyle w:val="BodyText"/>
      </w:pPr>
      <w:r>
        <w:t xml:space="preserve">Deocampo, D. M., &amp; Renaut, R. W. (2022). Mineral precipitation and </w:t>
      </w:r>
      <w:proofErr w:type="spellStart"/>
      <w:r>
        <w:t>hydrochemical</w:t>
      </w:r>
      <w:proofErr w:type="spellEnd"/>
      <w:r>
        <w:t xml:space="preserve"> evolution through evaporitic processes in soda brines (East African Rift Valley). Chemical Geology, 613, Article 121153. </w:t>
      </w:r>
      <w:hyperlink r:id="rId45" w:history="1">
        <w:r w:rsidR="00C11D26" w:rsidRPr="001263DC">
          <w:rPr>
            <w:rStyle w:val="Hyperlink"/>
          </w:rPr>
          <w:t>https://doi.org/10.1016/j.chemgeo.2022.121153</w:t>
        </w:r>
      </w:hyperlink>
    </w:p>
    <w:p w14:paraId="78BC512E" w14:textId="53078FD4" w:rsidR="004E4628" w:rsidRDefault="004E4628" w:rsidP="004E4628">
      <w:pPr>
        <w:pStyle w:val="BodyText"/>
      </w:pPr>
      <w:r>
        <w:t xml:space="preserve">Deva, R., </w:t>
      </w:r>
      <w:proofErr w:type="spellStart"/>
      <w:r>
        <w:t>Ciccoli</w:t>
      </w:r>
      <w:proofErr w:type="spellEnd"/>
      <w:r>
        <w:t xml:space="preserve">, R., Schewe, T., Kock, J. L. F., &amp; Nigam, S. (2000). Arachidonic acid stimulates cell growth and forms a novel oxygenated metabolite in Candida albicans. </w:t>
      </w:r>
      <w:proofErr w:type="spellStart"/>
      <w:r>
        <w:t>Biochimica</w:t>
      </w:r>
      <w:proofErr w:type="spellEnd"/>
      <w:r>
        <w:t xml:space="preserve"> et </w:t>
      </w:r>
      <w:proofErr w:type="spellStart"/>
      <w:r>
        <w:t>Biophysica</w:t>
      </w:r>
      <w:proofErr w:type="spellEnd"/>
      <w:r>
        <w:t xml:space="preserve"> Acta, 1486(2–3), 299–311.</w:t>
      </w:r>
    </w:p>
    <w:p w14:paraId="26C51CF3" w14:textId="77777777" w:rsidR="004E4628" w:rsidRDefault="004E4628" w:rsidP="004E4628">
      <w:pPr>
        <w:pStyle w:val="BodyText"/>
      </w:pPr>
      <w:r>
        <w:t>Di Marzo, V. (2006). Endocannabinoids: Synthesis and degradation. Reviews of Physiology, Biochemistry and Pharmacology, 160, 1–24.</w:t>
      </w:r>
    </w:p>
    <w:p w14:paraId="217BFA40" w14:textId="77777777" w:rsidR="004E4628" w:rsidRDefault="004E4628" w:rsidP="004E4628">
      <w:pPr>
        <w:pStyle w:val="BodyText"/>
      </w:pPr>
      <w:r>
        <w:t xml:space="preserve">Di Marzo, V., &amp; Piscitelli, F. (2015). The endocannabinoid system and its modulation by </w:t>
      </w:r>
      <w:proofErr w:type="spellStart"/>
      <w:r>
        <w:t>phytocannabinoids</w:t>
      </w:r>
      <w:proofErr w:type="spellEnd"/>
      <w:r>
        <w:t>. Neurotherapeutics, 12(4), 692–698.</w:t>
      </w:r>
    </w:p>
    <w:p w14:paraId="1E5121C1" w14:textId="3B55CBEE" w:rsidR="004E4628" w:rsidRDefault="004E4628" w:rsidP="004E4628">
      <w:pPr>
        <w:pStyle w:val="BodyText"/>
      </w:pPr>
      <w:proofErr w:type="spellStart"/>
      <w:r>
        <w:t>Dichtl</w:t>
      </w:r>
      <w:proofErr w:type="spellEnd"/>
      <w:r>
        <w:t xml:space="preserve">, K., et al. (2010). Farnesol misplaces tip-localized Rho proteins and inhibits cell wall integrity </w:t>
      </w:r>
      <w:r w:rsidR="00106E11">
        <w:t>signaling</w:t>
      </w:r>
      <w:r>
        <w:t xml:space="preserve"> in Aspergillus fumigatus. Molecular Microbiology, 76(5), 1191–1204.</w:t>
      </w:r>
    </w:p>
    <w:p w14:paraId="7C393881" w14:textId="77777777" w:rsidR="004E4628" w:rsidRDefault="004E4628" w:rsidP="004E4628">
      <w:pPr>
        <w:pStyle w:val="BodyText"/>
      </w:pPr>
      <w:proofErr w:type="spellStart"/>
      <w:r>
        <w:t>Dumeaux</w:t>
      </w:r>
      <w:proofErr w:type="spellEnd"/>
      <w:r>
        <w:t xml:space="preserve">, V., Massahi, S., Bettauer, V., et al. (2023). Candida albicans exhibits heterogeneous and adaptive cytoprotective responses to antifungal compounds. </w:t>
      </w:r>
      <w:proofErr w:type="spellStart"/>
      <w:r>
        <w:t>eLife</w:t>
      </w:r>
      <w:proofErr w:type="spellEnd"/>
      <w:r>
        <w:t>, 12, Article e81406.</w:t>
      </w:r>
    </w:p>
    <w:p w14:paraId="199BEF6D" w14:textId="2C9546B1" w:rsidR="00C11D26" w:rsidRDefault="004E4628" w:rsidP="004E4628">
      <w:pPr>
        <w:pStyle w:val="BodyText"/>
      </w:pPr>
      <w:r>
        <w:t xml:space="preserve">Dunkel, N., Hertlein, T., Franz, R., et al. (2013). Roles of different peptide transporters in nutrient acquisition in Candida albicans. Eukaryotic Cell, 12(4), 520–528. </w:t>
      </w:r>
      <w:hyperlink r:id="rId46" w:history="1">
        <w:r w:rsidR="00C11D26" w:rsidRPr="001263DC">
          <w:rPr>
            <w:rStyle w:val="Hyperlink"/>
          </w:rPr>
          <w:t>https://doi.org/10.1128/EC.00008-13</w:t>
        </w:r>
      </w:hyperlink>
    </w:p>
    <w:p w14:paraId="0E31D834" w14:textId="187347F3" w:rsidR="00C11D26" w:rsidRDefault="004E4628" w:rsidP="004E4628">
      <w:pPr>
        <w:pStyle w:val="BodyText"/>
      </w:pPr>
      <w:r>
        <w:t>Ebinger, C. J., et al. (2000). Rift deflection, migration, and propagation: Linkage of the Ethiopian and Eastern rifts, Africa. GSA Bulletin, 112(2), 163–176.</w:t>
      </w:r>
    </w:p>
    <w:p w14:paraId="1F990D8E" w14:textId="388CD771" w:rsidR="004E4628" w:rsidRDefault="004E4628" w:rsidP="004E4628">
      <w:pPr>
        <w:pStyle w:val="BodyText"/>
      </w:pPr>
      <w:r>
        <w:t>Eldredge, N., &amp; Gould, S. J. (1972). Punctuated equilibria: An alternative to phyletic gradualism. In T. J. M. Schopf (Ed.), Models in paleobiology (pp. 82–115). Freeman, Cooper.</w:t>
      </w:r>
    </w:p>
    <w:p w14:paraId="2D0581E5" w14:textId="344446D5" w:rsidR="00556297" w:rsidRDefault="00556297" w:rsidP="00556297">
      <w:pPr>
        <w:pStyle w:val="BodyText"/>
      </w:pPr>
      <w:r w:rsidRPr="00556297">
        <w:t xml:space="preserve">Elijovich, F., Weinberger, M. H., Anderson, C. A. M., Appel, L. J., Bursztyn, M., Cook, N. R., Dart, R. A., Newton-Cheh, C. H., Sacks, F. M., &amp; Laffer, C. L. (2016). Salt sensitivity of blood pressure: A scientific statement from the American Heart Association. Hypertension, 68(3), e7–e46. </w:t>
      </w:r>
      <w:hyperlink r:id="rId47" w:history="1">
        <w:r w:rsidRPr="00556297">
          <w:rPr>
            <w:rStyle w:val="Hyperlink"/>
          </w:rPr>
          <w:t>https://doi.org/10.1161/HYP.0000000000000047</w:t>
        </w:r>
      </w:hyperlink>
    </w:p>
    <w:p w14:paraId="30830EB8" w14:textId="7DF846C6" w:rsidR="00C11D26" w:rsidRDefault="004E4628" w:rsidP="004E4628">
      <w:pPr>
        <w:pStyle w:val="BodyText"/>
      </w:pPr>
      <w:r>
        <w:t xml:space="preserve">Elphick, M. R. (2012). The evolution and comparative neurobiology of endocannabinoid </w:t>
      </w:r>
      <w:r w:rsidR="00106E11">
        <w:t>signaling</w:t>
      </w:r>
      <w:r>
        <w:t xml:space="preserve">. Philosophical Transactions of the Royal Society B, 367(1607), 3201–3215. </w:t>
      </w:r>
      <w:hyperlink r:id="rId48" w:history="1">
        <w:r w:rsidR="00C11D26" w:rsidRPr="001263DC">
          <w:rPr>
            <w:rStyle w:val="Hyperlink"/>
          </w:rPr>
          <w:t>https://doi.org/10.1098/rstb.2011.0394</w:t>
        </w:r>
      </w:hyperlink>
    </w:p>
    <w:p w14:paraId="15790D80" w14:textId="672B80F6" w:rsidR="00C11D26" w:rsidRDefault="004E4628" w:rsidP="004E4628">
      <w:pPr>
        <w:pStyle w:val="BodyText"/>
      </w:pPr>
      <w:r>
        <w:lastRenderedPageBreak/>
        <w:t xml:space="preserve">Elphick, M. R., Satou, Y., &amp; Satoh, N. (2003). The invertebrate ancestry of endocannabinoid </w:t>
      </w:r>
      <w:r w:rsidR="00106E11">
        <w:t>signaling</w:t>
      </w:r>
      <w:r>
        <w:t xml:space="preserve">: An orthologue of vertebrate cannabinoid receptors in the urochordate Ciona intestinalis. Gene, 302(1–2), 95–101. </w:t>
      </w:r>
      <w:hyperlink r:id="rId49" w:history="1">
        <w:r w:rsidR="00C11D26" w:rsidRPr="001263DC">
          <w:rPr>
            <w:rStyle w:val="Hyperlink"/>
          </w:rPr>
          <w:t>https://doi.org/10.1016/S0378-1119(02)01094-6</w:t>
        </w:r>
      </w:hyperlink>
    </w:p>
    <w:p w14:paraId="59A92E7D" w14:textId="4D2EBF98" w:rsidR="00C11D26" w:rsidRDefault="004E4628" w:rsidP="004E4628">
      <w:pPr>
        <w:pStyle w:val="BodyText"/>
      </w:pPr>
      <w:r>
        <w:t xml:space="preserve">Elson, S. L., Noble, S. M., Solis, N. V., Filler, S. G., &amp; Johnson, A. D. (2009). An RNA transport system in Candida albicans regulates hyphal morphology and invasive growth. </w:t>
      </w:r>
      <w:proofErr w:type="spellStart"/>
      <w:r>
        <w:t>PLoS</w:t>
      </w:r>
      <w:proofErr w:type="spellEnd"/>
      <w:r>
        <w:t xml:space="preserve"> Genetics, 5(9), Article e1000664. </w:t>
      </w:r>
      <w:hyperlink r:id="rId50" w:history="1">
        <w:r w:rsidR="00C11D26" w:rsidRPr="001263DC">
          <w:rPr>
            <w:rStyle w:val="Hyperlink"/>
          </w:rPr>
          <w:t>https://doi.org/10.1371/journal.pgen.1000664</w:t>
        </w:r>
      </w:hyperlink>
    </w:p>
    <w:p w14:paraId="28770D3E" w14:textId="3B4B7A8C" w:rsidR="00C11D26" w:rsidRDefault="004E4628" w:rsidP="004E4628">
      <w:pPr>
        <w:pStyle w:val="BodyText"/>
      </w:pPr>
      <w:r>
        <w:t xml:space="preserve">Erb-Downward, J. R., &amp; </w:t>
      </w:r>
      <w:proofErr w:type="spellStart"/>
      <w:r>
        <w:t>Noverr</w:t>
      </w:r>
      <w:proofErr w:type="spellEnd"/>
      <w:r>
        <w:t xml:space="preserve">, M. C. (2007). Characterization of prostaglandin E₂ production by Candida albicans. Infection and Immunity, 75(7), 3498–3505. </w:t>
      </w:r>
      <w:hyperlink r:id="rId51" w:history="1">
        <w:r w:rsidR="00C11D26" w:rsidRPr="001263DC">
          <w:rPr>
            <w:rStyle w:val="Hyperlink"/>
          </w:rPr>
          <w:t>https://doi.org/10.1128/IAI.00232-07</w:t>
        </w:r>
      </w:hyperlink>
    </w:p>
    <w:p w14:paraId="4AC25816" w14:textId="03ECA4B3" w:rsidR="004E4628" w:rsidRDefault="004E4628" w:rsidP="004E4628">
      <w:pPr>
        <w:pStyle w:val="BodyText"/>
      </w:pPr>
      <w:r>
        <w:t>Forman, B. M., et al. (1995). Identification of a nuclear receptor that is activated by farnesol metabolites. Cell, 81(5), 687–693.</w:t>
      </w:r>
    </w:p>
    <w:p w14:paraId="295C99F8" w14:textId="77777777" w:rsidR="004E4628" w:rsidRDefault="004E4628" w:rsidP="004E4628">
      <w:pPr>
        <w:pStyle w:val="BodyText"/>
      </w:pPr>
      <w:r>
        <w:t>Fredriksson, R., et al. (2003). The G-protein-coupled receptors in the human genome form five main families. Molecular Pharmacology, 63(6), 1256–1272.</w:t>
      </w:r>
    </w:p>
    <w:p w14:paraId="373DE62A" w14:textId="5EF4ADC8" w:rsidR="00C11D26" w:rsidRDefault="004E4628" w:rsidP="004E4628">
      <w:pPr>
        <w:pStyle w:val="BodyText"/>
      </w:pPr>
      <w:r>
        <w:t>Freire-</w:t>
      </w:r>
      <w:proofErr w:type="spellStart"/>
      <w:r>
        <w:t>Benéitez</w:t>
      </w:r>
      <w:proofErr w:type="spellEnd"/>
      <w:r>
        <w:t xml:space="preserve">, V., Price, R. J., &amp; Buscaino, A. (2016). Candida albicans repetitive elements display epigenetic diversity and plasticity. Scientific Reports, 6, Article 22989. </w:t>
      </w:r>
      <w:hyperlink r:id="rId52" w:history="1">
        <w:r w:rsidR="00C11D26" w:rsidRPr="001263DC">
          <w:rPr>
            <w:rStyle w:val="Hyperlink"/>
          </w:rPr>
          <w:t>https://doi.org/10.1038/srep22989</w:t>
        </w:r>
      </w:hyperlink>
    </w:p>
    <w:p w14:paraId="2C7545EF" w14:textId="1E72DABA" w:rsidR="00C11D26" w:rsidRDefault="004E4628" w:rsidP="004E4628">
      <w:pPr>
        <w:pStyle w:val="BodyText"/>
      </w:pPr>
      <w:r>
        <w:t xml:space="preserve">Fuss, J., Steinle, J., </w:t>
      </w:r>
      <w:proofErr w:type="spellStart"/>
      <w:r>
        <w:t>Bindila</w:t>
      </w:r>
      <w:proofErr w:type="spellEnd"/>
      <w:r>
        <w:t xml:space="preserve">, L., et al. (2015). A runner's high depends on cannabinoid receptors in mice. Proceedings of the National Academy of Sciences, 112(42), 13105–13108. </w:t>
      </w:r>
      <w:hyperlink r:id="rId53" w:history="1">
        <w:r w:rsidR="00C11D26" w:rsidRPr="001263DC">
          <w:rPr>
            <w:rStyle w:val="Hyperlink"/>
          </w:rPr>
          <w:t>https://doi.org/10.1073/pnas.1514996112</w:t>
        </w:r>
      </w:hyperlink>
    </w:p>
    <w:p w14:paraId="654FCB3D" w14:textId="36DC618B" w:rsidR="00C23559" w:rsidRDefault="00C23559" w:rsidP="00C23559">
      <w:pPr>
        <w:pStyle w:val="BodyText"/>
      </w:pPr>
      <w:r w:rsidRPr="00C23559">
        <w:t xml:space="preserve">Garcin, Y., </w:t>
      </w:r>
      <w:proofErr w:type="spellStart"/>
      <w:r w:rsidRPr="00C23559">
        <w:t>Junginger</w:t>
      </w:r>
      <w:proofErr w:type="spellEnd"/>
      <w:r w:rsidRPr="00C23559">
        <w:t xml:space="preserve">, A., Melnick, D., </w:t>
      </w:r>
      <w:proofErr w:type="spellStart"/>
      <w:r w:rsidRPr="00C23559">
        <w:t>Olago</w:t>
      </w:r>
      <w:proofErr w:type="spellEnd"/>
      <w:r w:rsidRPr="00C23559">
        <w:t xml:space="preserve">, D., Strecker, M. R., &amp; Trauth, M. H. (2009). Late Pleistocene–Holocene rise and collapse of Lake </w:t>
      </w:r>
      <w:proofErr w:type="spellStart"/>
      <w:r w:rsidRPr="00C23559">
        <w:t>Suguta</w:t>
      </w:r>
      <w:proofErr w:type="spellEnd"/>
      <w:r w:rsidRPr="00C23559">
        <w:t xml:space="preserve">, northern Kenya Rift. Quaternary Science Reviews, 28(9–10), 911–925. </w:t>
      </w:r>
      <w:hyperlink r:id="rId54" w:history="1">
        <w:r w:rsidRPr="00C23559">
          <w:rPr>
            <w:rStyle w:val="Hyperlink"/>
          </w:rPr>
          <w:t>https://doi.org/10.1016/j.quascirev.2008.11.001</w:t>
        </w:r>
      </w:hyperlink>
    </w:p>
    <w:p w14:paraId="0C27DEB7" w14:textId="26E4A406" w:rsidR="00C11D26" w:rsidRDefault="004E4628" w:rsidP="004E4628">
      <w:pPr>
        <w:pStyle w:val="BodyText"/>
      </w:pPr>
      <w:r>
        <w:t xml:space="preserve">Garrahan, P. J., &amp; Glynn, I. M. (1966). Driving the sodium pump backwards to form adenosine triphosphate. Nature, 211, 1414–1415. </w:t>
      </w:r>
      <w:hyperlink r:id="rId55" w:history="1">
        <w:r w:rsidR="00C11D26" w:rsidRPr="001263DC">
          <w:rPr>
            <w:rStyle w:val="Hyperlink"/>
          </w:rPr>
          <w:t>https://doi.org/10.1038/2111414a0</w:t>
        </w:r>
      </w:hyperlink>
    </w:p>
    <w:p w14:paraId="27A9C65C" w14:textId="25CB87DD" w:rsidR="004E4628" w:rsidRDefault="004E4628" w:rsidP="004E4628">
      <w:pPr>
        <w:pStyle w:val="BodyText"/>
      </w:pPr>
      <w:r>
        <w:t>Gates, E. J., et al. (2026). Farnesol, the farnesol pathway, and the immune-gut-brain axis. Frontiers in Pharmacology.</w:t>
      </w:r>
    </w:p>
    <w:p w14:paraId="1A2C0EA6" w14:textId="77777777" w:rsidR="004E4628" w:rsidRDefault="004E4628" w:rsidP="004E4628">
      <w:pPr>
        <w:pStyle w:val="BodyText"/>
      </w:pPr>
      <w:r>
        <w:t xml:space="preserve">Gc, J. B., et al. (2023). Allosteric modulation of α1β3γ2 GABA-A receptors by farnesol through the </w:t>
      </w:r>
      <w:proofErr w:type="spellStart"/>
      <w:r>
        <w:t>neurosteroid</w:t>
      </w:r>
      <w:proofErr w:type="spellEnd"/>
      <w:r>
        <w:t xml:space="preserve"> sites. Neuropharmacology, 224, Article 109342.</w:t>
      </w:r>
    </w:p>
    <w:p w14:paraId="11FD3EE8" w14:textId="77777777" w:rsidR="004E4628" w:rsidRDefault="004E4628" w:rsidP="004E4628">
      <w:pPr>
        <w:pStyle w:val="BodyText"/>
      </w:pPr>
      <w:r>
        <w:t>Gómez-Gaviria, M., et al. (2023). Multi-omics profiling of Candida albicans grown on solid versus liquid media. Microorganisms, 11(12), Article 2831.</w:t>
      </w:r>
    </w:p>
    <w:p w14:paraId="7181875A" w14:textId="61BEE110" w:rsidR="00C11D26" w:rsidRDefault="004E4628" w:rsidP="004E4628">
      <w:pPr>
        <w:pStyle w:val="BodyText"/>
      </w:pPr>
      <w:r>
        <w:t xml:space="preserve">Grahl, N., Shepardson, K. M., Chung, D., &amp; Cramer, R. A. (2012). Hypoxia and fungal pathogenesis: To air or not to air? Eukaryotic Cell, 11(5), 560–570. </w:t>
      </w:r>
      <w:hyperlink r:id="rId56" w:history="1">
        <w:r w:rsidR="00C11D26" w:rsidRPr="001263DC">
          <w:rPr>
            <w:rStyle w:val="Hyperlink"/>
          </w:rPr>
          <w:t>https://doi.org/10.1128/EC.00031-12</w:t>
        </w:r>
      </w:hyperlink>
    </w:p>
    <w:p w14:paraId="4E848CDC" w14:textId="4782A169" w:rsidR="003428BF" w:rsidRDefault="003428BF" w:rsidP="003428BF">
      <w:pPr>
        <w:pStyle w:val="BodyText"/>
      </w:pPr>
      <w:r w:rsidRPr="003428BF">
        <w:t xml:space="preserve">Gupta, A., Zaman, L., Strobel, H. M., Gallie, J., Burmeister, A. R., Kerr, B., Tamar, E. S., </w:t>
      </w:r>
      <w:proofErr w:type="spellStart"/>
      <w:r w:rsidRPr="003428BF">
        <w:t>Kishony</w:t>
      </w:r>
      <w:proofErr w:type="spellEnd"/>
      <w:r w:rsidRPr="003428BF">
        <w:t xml:space="preserve">, R., &amp; Meyer, J. R. (2022). Host–parasite coevolution promotes innovation through deformations in fitness landscapes. </w:t>
      </w:r>
      <w:proofErr w:type="spellStart"/>
      <w:r w:rsidRPr="003428BF">
        <w:t>eLife</w:t>
      </w:r>
      <w:proofErr w:type="spellEnd"/>
      <w:r w:rsidRPr="003428BF">
        <w:t xml:space="preserve">, 11, e76162. </w:t>
      </w:r>
      <w:hyperlink r:id="rId57" w:history="1">
        <w:r w:rsidRPr="003428BF">
          <w:rPr>
            <w:rStyle w:val="Hyperlink"/>
          </w:rPr>
          <w:t>https://doi.org/10.7554/eLife.76162</w:t>
        </w:r>
      </w:hyperlink>
    </w:p>
    <w:p w14:paraId="5C053447" w14:textId="17BABA15" w:rsidR="004E4628" w:rsidRDefault="004E4628" w:rsidP="004E4628">
      <w:pPr>
        <w:pStyle w:val="BodyText"/>
      </w:pPr>
      <w:r>
        <w:lastRenderedPageBreak/>
        <w:t xml:space="preserve">Hall, R. A., et al. (2010). CO₂ acts as a </w:t>
      </w:r>
      <w:proofErr w:type="spellStart"/>
      <w:r>
        <w:t>signalling</w:t>
      </w:r>
      <w:proofErr w:type="spellEnd"/>
      <w:r>
        <w:t xml:space="preserve"> molecule in populations of the fungal pathogen Candida albicans. </w:t>
      </w:r>
      <w:proofErr w:type="spellStart"/>
      <w:r>
        <w:t>PLoS</w:t>
      </w:r>
      <w:proofErr w:type="spellEnd"/>
      <w:r>
        <w:t xml:space="preserve"> Pathogens, 6(11), Article e1001193.</w:t>
      </w:r>
    </w:p>
    <w:p w14:paraId="33FFD460" w14:textId="0A4A435E" w:rsidR="00C11D26" w:rsidRDefault="004E4628" w:rsidP="004E4628">
      <w:pPr>
        <w:pStyle w:val="BodyText"/>
      </w:pPr>
      <w:proofErr w:type="spellStart"/>
      <w:r>
        <w:t>Harmand</w:t>
      </w:r>
      <w:proofErr w:type="spellEnd"/>
      <w:r>
        <w:t xml:space="preserve">, S., et al. (2015). 3.3-million-year-old stone tools from </w:t>
      </w:r>
      <w:proofErr w:type="spellStart"/>
      <w:r>
        <w:t>Lomekwi</w:t>
      </w:r>
      <w:proofErr w:type="spellEnd"/>
      <w:r>
        <w:t xml:space="preserve"> 3, West Turkana, Kenya. Nature, 521(7552), 310–315. </w:t>
      </w:r>
      <w:hyperlink r:id="rId58" w:history="1">
        <w:r w:rsidR="00C11D26" w:rsidRPr="001263DC">
          <w:rPr>
            <w:rStyle w:val="Hyperlink"/>
          </w:rPr>
          <w:t>https://doi.org/10.1038/nature14464</w:t>
        </w:r>
      </w:hyperlink>
    </w:p>
    <w:p w14:paraId="6AADE44F" w14:textId="6209FB70" w:rsidR="00C11D26" w:rsidRDefault="004E4628" w:rsidP="004E4628">
      <w:pPr>
        <w:pStyle w:val="BodyText"/>
      </w:pPr>
      <w:r>
        <w:t xml:space="preserve">Head, M. G., et al. (2014). A systematic analysis of funding awarded for mycology research to institutions in the UK, 1997–2010. The Lancet Infectious Diseases. </w:t>
      </w:r>
      <w:hyperlink r:id="rId59" w:history="1">
        <w:r w:rsidR="00C11D26" w:rsidRPr="001263DC">
          <w:rPr>
            <w:rStyle w:val="Hyperlink"/>
          </w:rPr>
          <w:t>https://doi.org/10.1016/S1473-3099(14)70799-5</w:t>
        </w:r>
      </w:hyperlink>
    </w:p>
    <w:p w14:paraId="0D1B6B35" w14:textId="4C977D47" w:rsidR="00C11D26" w:rsidRDefault="004E4628" w:rsidP="004E4628">
      <w:pPr>
        <w:pStyle w:val="BodyText"/>
      </w:pPr>
      <w:r>
        <w:t xml:space="preserve">Hia, F., Wu, Y., Yoshinaga, M., et al. (2026). Human DHX29 detects nonoptimal codon usage to regulate mRNA stability. Science. </w:t>
      </w:r>
      <w:hyperlink r:id="rId60" w:history="1">
        <w:r w:rsidR="00C11D26" w:rsidRPr="001263DC">
          <w:rPr>
            <w:rStyle w:val="Hyperlink"/>
          </w:rPr>
          <w:t>https://doi.org/10.1126/science.adw0288</w:t>
        </w:r>
      </w:hyperlink>
    </w:p>
    <w:p w14:paraId="7A6C7310" w14:textId="02FF097B" w:rsidR="00C11D26" w:rsidRDefault="004E4628" w:rsidP="004E4628">
      <w:pPr>
        <w:pStyle w:val="BodyText"/>
      </w:pPr>
      <w:r>
        <w:t xml:space="preserve">Ho, J., et al. (2021). Candidalysin is a potent trigger of alarmin and antimicrobial peptide release in epithelial cells. Cells, 9(3), Article 699. </w:t>
      </w:r>
      <w:hyperlink r:id="rId61" w:history="1">
        <w:r w:rsidR="00C11D26" w:rsidRPr="001263DC">
          <w:rPr>
            <w:rStyle w:val="Hyperlink"/>
          </w:rPr>
          <w:t>https://doi.org/10.3390/cells9030699</w:t>
        </w:r>
      </w:hyperlink>
    </w:p>
    <w:p w14:paraId="7BADCD56" w14:textId="17ED01D8" w:rsidR="004E4628" w:rsidRDefault="004E4628" w:rsidP="004E4628">
      <w:pPr>
        <w:pStyle w:val="BodyText"/>
      </w:pPr>
      <w:r>
        <w:t>Hogan, D. A., Vik, A., &amp; Kolter, R. (2004). A Pseudomonas aeruginosa quorum-sensing molecule influences Candida albicans morphology. Molecular Microbiology, 54(5), 1212–1223.</w:t>
      </w:r>
    </w:p>
    <w:p w14:paraId="29C15644" w14:textId="77777777" w:rsidR="004E4628" w:rsidRDefault="004E4628" w:rsidP="004E4628">
      <w:pPr>
        <w:pStyle w:val="BodyText"/>
      </w:pPr>
      <w:r>
        <w:t>Hornby, J. M., et al. (2001). Quorum sensing in the dimorphic fungus Candida albicans is mediated by farnesol. Applied and Environmental Microbiology, 67(7), 2982–2992.</w:t>
      </w:r>
    </w:p>
    <w:p w14:paraId="28A6D307" w14:textId="0B79D9A1" w:rsidR="00C11D26" w:rsidRDefault="004E4628" w:rsidP="004E4628">
      <w:pPr>
        <w:pStyle w:val="BodyText"/>
      </w:pPr>
      <w:r>
        <w:t xml:space="preserve">Jackson, A. P., et al. (2009). Comparative genomics of the fungal pathogens Candida </w:t>
      </w:r>
      <w:proofErr w:type="spellStart"/>
      <w:r>
        <w:t>dubliniensis</w:t>
      </w:r>
      <w:proofErr w:type="spellEnd"/>
      <w:r>
        <w:t xml:space="preserve"> and Candida albicans. Genome Research, 19(12), 2231–2244. </w:t>
      </w:r>
      <w:hyperlink r:id="rId62" w:history="1">
        <w:r w:rsidR="00C11D26" w:rsidRPr="001263DC">
          <w:rPr>
            <w:rStyle w:val="Hyperlink"/>
          </w:rPr>
          <w:t>https://doi.org/10.1101/gr.097501.109</w:t>
        </w:r>
      </w:hyperlink>
    </w:p>
    <w:p w14:paraId="174E210C" w14:textId="6393656C" w:rsidR="00C11D26" w:rsidRDefault="004E4628" w:rsidP="004E4628">
      <w:pPr>
        <w:pStyle w:val="BodyText"/>
      </w:pPr>
      <w:r>
        <w:t xml:space="preserve">Jiang, H. E., et al. (2016). Ancient Cannabis burial shroud in a Central Eurasian Cemetery. Economic Botany, 70(3), 213–221. </w:t>
      </w:r>
      <w:hyperlink r:id="rId63" w:history="1">
        <w:r w:rsidR="00C11D26" w:rsidRPr="001263DC">
          <w:rPr>
            <w:rStyle w:val="Hyperlink"/>
          </w:rPr>
          <w:t>https://doi.org/10.1007/s12231-016-9351-1</w:t>
        </w:r>
      </w:hyperlink>
    </w:p>
    <w:p w14:paraId="326ECAF6" w14:textId="5C99E75F" w:rsidR="004E4628" w:rsidRDefault="004E4628" w:rsidP="004E4628">
      <w:pPr>
        <w:pStyle w:val="BodyText"/>
      </w:pPr>
      <w:r>
        <w:t>Johanson, D. C., &amp; White, T. D. (1979). A systematic assessment of early African hominids. Science, 203(4378), 321–330.</w:t>
      </w:r>
    </w:p>
    <w:p w14:paraId="763C25A2" w14:textId="77777777" w:rsidR="004E4628" w:rsidRDefault="004E4628" w:rsidP="004E4628">
      <w:pPr>
        <w:pStyle w:val="BodyText"/>
      </w:pPr>
      <w:r>
        <w:t xml:space="preserve">Joo, J. H., et al. (2009). Molecular mechanisms involved in farnesol-induced apoptosis. </w:t>
      </w:r>
      <w:proofErr w:type="spellStart"/>
      <w:r>
        <w:t>Biochimica</w:t>
      </w:r>
      <w:proofErr w:type="spellEnd"/>
      <w:r>
        <w:t xml:space="preserve"> et </w:t>
      </w:r>
      <w:proofErr w:type="spellStart"/>
      <w:r>
        <w:t>Biophysica</w:t>
      </w:r>
      <w:proofErr w:type="spellEnd"/>
      <w:r>
        <w:t xml:space="preserve"> Acta, 1793(11), 1721–1732.</w:t>
      </w:r>
    </w:p>
    <w:p w14:paraId="5415EC37" w14:textId="77777777" w:rsidR="004E4628" w:rsidRDefault="004E4628" w:rsidP="004E4628">
      <w:pPr>
        <w:pStyle w:val="BodyText"/>
      </w:pPr>
      <w:r>
        <w:t xml:space="preserve">Joo, J. H., et al. (2010). Candida albicans quorum-sensing molecule </w:t>
      </w:r>
      <w:proofErr w:type="spellStart"/>
      <w:r>
        <w:t>tyrosol</w:t>
      </w:r>
      <w:proofErr w:type="spellEnd"/>
      <w:r>
        <w:t xml:space="preserve"> modulates neutrophil activity and </w:t>
      </w:r>
      <w:proofErr w:type="gramStart"/>
      <w:r>
        <w:t>host</w:t>
      </w:r>
      <w:proofErr w:type="gramEnd"/>
      <w:r>
        <w:t xml:space="preserve"> immune responses. Microbiology, 156(Pt 12), 3854–3864.</w:t>
      </w:r>
    </w:p>
    <w:p w14:paraId="4789B295" w14:textId="5D3B04AC" w:rsidR="00C23559" w:rsidRDefault="00C23559" w:rsidP="00C23559">
      <w:pPr>
        <w:pStyle w:val="BodyText"/>
      </w:pPr>
      <w:r w:rsidRPr="00C23559">
        <w:t xml:space="preserve">Johnson, T. C., et al. (2016). A progressively wetter climate in southern East Africa over the past 1.3 million years. Nature, 537(7619), 220–224. </w:t>
      </w:r>
      <w:hyperlink r:id="rId64" w:history="1">
        <w:r w:rsidRPr="00C23559">
          <w:rPr>
            <w:rStyle w:val="Hyperlink"/>
          </w:rPr>
          <w:t>https://doi.org/10.1038/nature19065</w:t>
        </w:r>
      </w:hyperlink>
    </w:p>
    <w:p w14:paraId="5ED6CCC0" w14:textId="77777777" w:rsidR="004E4628" w:rsidRDefault="004E4628" w:rsidP="004E4628">
      <w:pPr>
        <w:pStyle w:val="BodyText"/>
      </w:pPr>
      <w:proofErr w:type="spellStart"/>
      <w:r>
        <w:t>Junginger</w:t>
      </w:r>
      <w:proofErr w:type="spellEnd"/>
      <w:r>
        <w:t xml:space="preserve">, A., &amp; Trauth, M. H. (2013). Hydrological constraints of paleo-Lake </w:t>
      </w:r>
      <w:proofErr w:type="spellStart"/>
      <w:r>
        <w:t>Suguta</w:t>
      </w:r>
      <w:proofErr w:type="spellEnd"/>
      <w:r>
        <w:t xml:space="preserve"> in the Northern Kenya Rift during the African Humid Period (15–5 ka BP). Global and Planetary Change, 111, 174–188.</w:t>
      </w:r>
    </w:p>
    <w:p w14:paraId="269DE2A4" w14:textId="31E9556C" w:rsidR="00C11D26" w:rsidRDefault="004E4628" w:rsidP="004E4628">
      <w:pPr>
        <w:pStyle w:val="BodyText"/>
      </w:pPr>
      <w:proofErr w:type="spellStart"/>
      <w:r>
        <w:t>Karkowska-Kuleta</w:t>
      </w:r>
      <w:proofErr w:type="spellEnd"/>
      <w:r>
        <w:t xml:space="preserve">, J., et al. (2025). Host cell responses to Candida albicans biofilm-derived extracellular vesicles. Frontiers in Cellular and Infection Microbiology, 14, Article 1499461. </w:t>
      </w:r>
      <w:hyperlink r:id="rId65" w:history="1">
        <w:r w:rsidR="00C11D26" w:rsidRPr="001263DC">
          <w:rPr>
            <w:rStyle w:val="Hyperlink"/>
          </w:rPr>
          <w:t>https://doi.org/10.3389/fcimb.2024.1499461</w:t>
        </w:r>
      </w:hyperlink>
    </w:p>
    <w:p w14:paraId="41DA7439" w14:textId="649AEDB3" w:rsidR="004E4628" w:rsidRDefault="004E4628" w:rsidP="004E4628">
      <w:pPr>
        <w:pStyle w:val="BodyText"/>
      </w:pPr>
      <w:r>
        <w:t xml:space="preserve">Kinsman, O. S., Pitblado, K., &amp; Coulson, C. J. (1988). Effect of mammalian steroid hormones and luteinizing </w:t>
      </w:r>
      <w:proofErr w:type="gramStart"/>
      <w:r>
        <w:t>hormone</w:t>
      </w:r>
      <w:proofErr w:type="gramEnd"/>
      <w:r>
        <w:t xml:space="preserve"> on the germination of Candida albicans and implications for vaginal </w:t>
      </w:r>
      <w:proofErr w:type="spellStart"/>
      <w:r>
        <w:t>candidosis</w:t>
      </w:r>
      <w:proofErr w:type="spellEnd"/>
      <w:r>
        <w:t>. Mycoses, 31(12), 617–626.</w:t>
      </w:r>
    </w:p>
    <w:p w14:paraId="26137E1A" w14:textId="77777777" w:rsidR="004E4628" w:rsidRDefault="004E4628" w:rsidP="004E4628">
      <w:pPr>
        <w:pStyle w:val="BodyText"/>
      </w:pPr>
      <w:r>
        <w:lastRenderedPageBreak/>
        <w:t>Kong, E. F., et al. (2017). Commensal protection of Staphylococcus aureus against antimicrobials by Candida albicans biofilm matrix. mBio, 8(4), Article e01415-17.</w:t>
      </w:r>
    </w:p>
    <w:p w14:paraId="0221B444" w14:textId="46722BB2" w:rsidR="00C11D26" w:rsidRDefault="004E4628" w:rsidP="004E4628">
      <w:pPr>
        <w:pStyle w:val="BodyText"/>
      </w:pPr>
      <w:r>
        <w:t xml:space="preserve">Krombach, S., et al. (2025). A co-evolved peptide-GPCR system senses host entry to drive fungal infection. bioRxiv. </w:t>
      </w:r>
      <w:hyperlink r:id="rId66" w:history="1">
        <w:r w:rsidR="00C11D26" w:rsidRPr="001263DC">
          <w:rPr>
            <w:rStyle w:val="Hyperlink"/>
          </w:rPr>
          <w:t>https://doi.org/10.1101/2025.09.26.678928</w:t>
        </w:r>
      </w:hyperlink>
    </w:p>
    <w:p w14:paraId="4C2ED789" w14:textId="63CE7314" w:rsidR="004E4628" w:rsidRDefault="004E4628" w:rsidP="004E4628">
      <w:pPr>
        <w:pStyle w:val="BodyText"/>
      </w:pPr>
      <w:r>
        <w:t>Kumamoto, C. A. (2011). Inflammation and gastrointestinal Candida colonization. Current Opinion in Microbiology, 14(4), 386–391.</w:t>
      </w:r>
    </w:p>
    <w:p w14:paraId="3C739895" w14:textId="77777777" w:rsidR="004E4628" w:rsidRDefault="004E4628" w:rsidP="004E4628">
      <w:pPr>
        <w:pStyle w:val="BodyText"/>
      </w:pPr>
      <w:r>
        <w:t>Kumwenda, P., Cottier, F., Hendry, A. C., et al. (2022). Estrogen promotes innate immune evasion of Candida albicans through inactivation of the alternative complement system. Cell Reports, 38(1), Article 110183.</w:t>
      </w:r>
    </w:p>
    <w:p w14:paraId="40FBE9FB" w14:textId="1DABBE6A" w:rsidR="00C11D26" w:rsidRDefault="004E4628" w:rsidP="004E4628">
      <w:pPr>
        <w:pStyle w:val="BodyText"/>
      </w:pPr>
      <w:r>
        <w:t xml:space="preserve">Kundu, G., &amp; </w:t>
      </w:r>
      <w:proofErr w:type="spellStart"/>
      <w:r>
        <w:t>Noverr</w:t>
      </w:r>
      <w:proofErr w:type="spellEnd"/>
      <w:r>
        <w:t xml:space="preserve">, M. C. (2011). Exposure to host or fungal PGE₂ abrogates protection following immunization with Candida-pulsed dendritic cells. Medical Mycology, 49(4), 380–394. </w:t>
      </w:r>
      <w:hyperlink r:id="rId67" w:history="1">
        <w:r w:rsidR="00C11D26" w:rsidRPr="001263DC">
          <w:rPr>
            <w:rStyle w:val="Hyperlink"/>
          </w:rPr>
          <w:t>https://doi.org/10.3109/13693786.2010.532514</w:t>
        </w:r>
      </w:hyperlink>
    </w:p>
    <w:p w14:paraId="22EA7132" w14:textId="237E57D2" w:rsidR="00C11D26" w:rsidRDefault="004E4628" w:rsidP="004E4628">
      <w:pPr>
        <w:pStyle w:val="BodyText"/>
      </w:pPr>
      <w:r>
        <w:t xml:space="preserve">Kussell, E., &amp; Leibler, S. (2005). Phenotypic diversity, population growth, and information in fluctuating environments. Science, 309(5743), 2075–2078. </w:t>
      </w:r>
      <w:hyperlink r:id="rId68" w:history="1">
        <w:r w:rsidR="00C11D26" w:rsidRPr="001263DC">
          <w:rPr>
            <w:rStyle w:val="Hyperlink"/>
          </w:rPr>
          <w:t>https://doi.org/10.1126/science.1114383</w:t>
        </w:r>
      </w:hyperlink>
    </w:p>
    <w:p w14:paraId="47200613" w14:textId="580EECFC" w:rsidR="00C23559" w:rsidRDefault="00C23559" w:rsidP="00C23559">
      <w:pPr>
        <w:pStyle w:val="BodyText"/>
      </w:pPr>
      <w:proofErr w:type="spellStart"/>
      <w:r w:rsidRPr="00C23559">
        <w:t>Kutzbach</w:t>
      </w:r>
      <w:proofErr w:type="spellEnd"/>
      <w:r w:rsidRPr="00C23559">
        <w:t xml:space="preserve">, J. E., &amp; Street-Perrott, F. A. (1985). Milankovitch forcing of fluctuations in the level of tropical lakes from 18 to 0 </w:t>
      </w:r>
      <w:proofErr w:type="spellStart"/>
      <w:r w:rsidRPr="00C23559">
        <w:t>kyr</w:t>
      </w:r>
      <w:proofErr w:type="spellEnd"/>
      <w:r w:rsidRPr="00C23559">
        <w:t xml:space="preserve"> BP. Nature, 317(6033), 130–134. </w:t>
      </w:r>
      <w:hyperlink r:id="rId69" w:history="1">
        <w:r w:rsidRPr="00C23559">
          <w:rPr>
            <w:rStyle w:val="Hyperlink"/>
          </w:rPr>
          <w:t>https://doi.org/10.1038/317130a0</w:t>
        </w:r>
      </w:hyperlink>
    </w:p>
    <w:p w14:paraId="37C5F6DB" w14:textId="14A89861" w:rsidR="00C11D26" w:rsidRDefault="004E4628" w:rsidP="004E4628">
      <w:pPr>
        <w:pStyle w:val="BodyText"/>
      </w:pPr>
      <w:r>
        <w:t xml:space="preserve">Lachat, J., et al. (2022). Trans-cellular tunnels induced by the fungal pathogen Candida albicans facilitate invasion through successive epithelial cells without host damage. Nature Communications, 13, Article 3781. </w:t>
      </w:r>
      <w:hyperlink r:id="rId70" w:history="1">
        <w:r w:rsidR="00C11D26" w:rsidRPr="001263DC">
          <w:rPr>
            <w:rStyle w:val="Hyperlink"/>
          </w:rPr>
          <w:t>https://doi.org/10.1038/s41467-022-31237-z</w:t>
        </w:r>
      </w:hyperlink>
    </w:p>
    <w:p w14:paraId="2CACA826" w14:textId="06E91B38" w:rsidR="004E4628" w:rsidRDefault="004E4628" w:rsidP="004E4628">
      <w:pPr>
        <w:pStyle w:val="BodyText"/>
      </w:pPr>
      <w:r>
        <w:t>Leakey, L. S. B. (1959). A new fossil skull from Olduvai. Nature, 184(4685), 491–493.</w:t>
      </w:r>
    </w:p>
    <w:p w14:paraId="2D4FA67E" w14:textId="0938DC8A" w:rsidR="00C11D26" w:rsidRDefault="004E4628" w:rsidP="004E4628">
      <w:pPr>
        <w:pStyle w:val="BodyText"/>
      </w:pPr>
      <w:r>
        <w:t xml:space="preserve">Leonhardt, I., Spielberg, S., Weber, M., et al. (2015). The fungal quorum-sensing molecule farnesol activates innate immune cells but suppresses cellular adaptive immunity. mBio, 6(2), Article e00143-15. </w:t>
      </w:r>
      <w:hyperlink r:id="rId71" w:history="1">
        <w:r w:rsidR="00C11D26" w:rsidRPr="001263DC">
          <w:rPr>
            <w:rStyle w:val="Hyperlink"/>
          </w:rPr>
          <w:t>https://doi.org/10.1128/mBio.00143-15</w:t>
        </w:r>
      </w:hyperlink>
    </w:p>
    <w:p w14:paraId="37748181" w14:textId="545072C4" w:rsidR="00C11D26" w:rsidRDefault="004E4628" w:rsidP="004E4628">
      <w:pPr>
        <w:pStyle w:val="BodyText"/>
      </w:pPr>
      <w:r>
        <w:t xml:space="preserve">Leshem, M. (2009). </w:t>
      </w:r>
      <w:proofErr w:type="spellStart"/>
      <w:r>
        <w:t>Biobehavior</w:t>
      </w:r>
      <w:proofErr w:type="spellEnd"/>
      <w:r>
        <w:t xml:space="preserve"> of the human love of salt. Neuroscience &amp; Biobehavioral Reviews, 33(1), 1–17. </w:t>
      </w:r>
      <w:hyperlink r:id="rId72" w:history="1">
        <w:r w:rsidR="00C11D26" w:rsidRPr="001263DC">
          <w:rPr>
            <w:rStyle w:val="Hyperlink"/>
          </w:rPr>
          <w:t>https://doi.org/10.1016/j.neubiorev.2008.07.007</w:t>
        </w:r>
      </w:hyperlink>
    </w:p>
    <w:p w14:paraId="63999D0E" w14:textId="5DC3B145" w:rsidR="00C11D26" w:rsidRDefault="004E4628" w:rsidP="004E4628">
      <w:pPr>
        <w:pStyle w:val="BodyText"/>
      </w:pPr>
      <w:r>
        <w:t xml:space="preserve">Li, H. L. (1974). An archaeological and historical account of cannabis in China. Economic Botany, 28(4), 437–448. </w:t>
      </w:r>
      <w:hyperlink r:id="rId73" w:history="1">
        <w:r w:rsidR="00C11D26" w:rsidRPr="001263DC">
          <w:rPr>
            <w:rStyle w:val="Hyperlink"/>
          </w:rPr>
          <w:t>https://doi.org/10.1007/BF02862859</w:t>
        </w:r>
      </w:hyperlink>
    </w:p>
    <w:p w14:paraId="35ACCAC2" w14:textId="4359B5A0" w:rsidR="00C11D26" w:rsidRDefault="004E4628" w:rsidP="004E4628">
      <w:pPr>
        <w:pStyle w:val="BodyText"/>
      </w:pPr>
      <w:r>
        <w:t>Li, S., He, F., Wen, H., et al. (2017). Low salinity affects cellularity, DNA methylation, and mRNA expression of igf1 in the liver of half smooth tongue sole (</w:t>
      </w:r>
      <w:proofErr w:type="spellStart"/>
      <w:r>
        <w:t>Cynoglossus</w:t>
      </w:r>
      <w:proofErr w:type="spellEnd"/>
      <w:r>
        <w:t xml:space="preserve"> </w:t>
      </w:r>
      <w:proofErr w:type="spellStart"/>
      <w:r>
        <w:t>semilaevis</w:t>
      </w:r>
      <w:proofErr w:type="spellEnd"/>
      <w:r>
        <w:t xml:space="preserve">). Fish Physiology and Biochemistry, 43(6), 1587–1602. </w:t>
      </w:r>
      <w:hyperlink r:id="rId74" w:history="1">
        <w:r w:rsidR="00C11D26" w:rsidRPr="001263DC">
          <w:rPr>
            <w:rStyle w:val="Hyperlink"/>
          </w:rPr>
          <w:t>https://doi.org/10.1007/s10695-017-0395-7</w:t>
        </w:r>
      </w:hyperlink>
    </w:p>
    <w:p w14:paraId="1E16875A" w14:textId="00938047" w:rsidR="00C11D26" w:rsidRDefault="004E4628" w:rsidP="004E4628">
      <w:pPr>
        <w:pStyle w:val="BodyText"/>
      </w:pPr>
      <w:r>
        <w:t xml:space="preserve">Li, Y., et al. (2018). Promising antifungal targets against Candida albicans based on ion homeostasis. Frontiers in Cellular and Infection Microbiology, 8, Article 286. </w:t>
      </w:r>
      <w:hyperlink r:id="rId75" w:history="1">
        <w:r w:rsidR="00C11D26" w:rsidRPr="001263DC">
          <w:rPr>
            <w:rStyle w:val="Hyperlink"/>
          </w:rPr>
          <w:t>https://doi.org/10.3389/fcimb.2018.00286</w:t>
        </w:r>
      </w:hyperlink>
    </w:p>
    <w:p w14:paraId="37EBB507" w14:textId="230F5402" w:rsidR="00C11D26" w:rsidRDefault="004E4628" w:rsidP="004E4628">
      <w:pPr>
        <w:pStyle w:val="BodyText"/>
      </w:pPr>
      <w:r>
        <w:lastRenderedPageBreak/>
        <w:t xml:space="preserve">Lin, J., &amp; Filler, S. G. (2025). Host targets of </w:t>
      </w:r>
      <w:proofErr w:type="spellStart"/>
      <w:r>
        <w:t>candidalysin</w:t>
      </w:r>
      <w:proofErr w:type="spellEnd"/>
      <w:r>
        <w:t xml:space="preserve">. </w:t>
      </w:r>
      <w:proofErr w:type="spellStart"/>
      <w:r>
        <w:t>PLoS</w:t>
      </w:r>
      <w:proofErr w:type="spellEnd"/>
      <w:r>
        <w:t xml:space="preserve"> Pathogens, 21(6), Article e1013284. </w:t>
      </w:r>
      <w:hyperlink r:id="rId76" w:history="1">
        <w:r w:rsidR="00C11D26" w:rsidRPr="001263DC">
          <w:rPr>
            <w:rStyle w:val="Hyperlink"/>
          </w:rPr>
          <w:t>https://doi.org/10.1371/journal.ppat.1013284</w:t>
        </w:r>
      </w:hyperlink>
    </w:p>
    <w:p w14:paraId="5D05F862" w14:textId="2A0C60D6" w:rsidR="00C11D26" w:rsidRDefault="004E4628" w:rsidP="004E4628">
      <w:pPr>
        <w:pStyle w:val="BodyText"/>
      </w:pPr>
      <w:r>
        <w:t xml:space="preserve">Lin, J., et al. (2024). Global </w:t>
      </w:r>
      <w:proofErr w:type="gramStart"/>
      <w:r>
        <w:t>fungal-host</w:t>
      </w:r>
      <w:proofErr w:type="gramEnd"/>
      <w:r>
        <w:t xml:space="preserve"> interactome mapping identifies host targets of </w:t>
      </w:r>
      <w:proofErr w:type="spellStart"/>
      <w:r>
        <w:t>candidalysin</w:t>
      </w:r>
      <w:proofErr w:type="spellEnd"/>
      <w:r>
        <w:t xml:space="preserve">. Nature Communications, 15, Article 1757. </w:t>
      </w:r>
      <w:hyperlink r:id="rId77" w:history="1">
        <w:r w:rsidR="00C11D26" w:rsidRPr="001263DC">
          <w:rPr>
            <w:rStyle w:val="Hyperlink"/>
          </w:rPr>
          <w:t>https://doi.org/10.1038/s41467-024-46141-x</w:t>
        </w:r>
      </w:hyperlink>
    </w:p>
    <w:p w14:paraId="17F8122F" w14:textId="42FF73B0" w:rsidR="004E4628" w:rsidRDefault="004E4628" w:rsidP="004E4628">
      <w:pPr>
        <w:pStyle w:val="BodyText"/>
      </w:pPr>
      <w:r>
        <w:t xml:space="preserve">Loose, D. S., &amp; Feldman, D. (1981). A corticosteroid binding protein and endogenous ligand in C. albicans </w:t>
      </w:r>
      <w:proofErr w:type="gramStart"/>
      <w:r>
        <w:t>indicating</w:t>
      </w:r>
      <w:proofErr w:type="gramEnd"/>
      <w:r>
        <w:t xml:space="preserve"> a possible steroid-receptor system. Nature, 293(5832), 477–479.</w:t>
      </w:r>
    </w:p>
    <w:p w14:paraId="48AE2B90" w14:textId="77777777" w:rsidR="004E4628" w:rsidRDefault="004E4628" w:rsidP="004E4628">
      <w:pPr>
        <w:pStyle w:val="BodyText"/>
      </w:pPr>
      <w:r>
        <w:t>Loose, D. S., Schurman, D. J., &amp; Feldman, D. (1982). Characterization of a unique corticosterone-binding protein in Candida albicans. Journal of Biological Chemistry, 257(9), 4925–4930.</w:t>
      </w:r>
    </w:p>
    <w:p w14:paraId="4C847891" w14:textId="77777777" w:rsidR="004E4628" w:rsidRDefault="004E4628" w:rsidP="004E4628">
      <w:pPr>
        <w:pStyle w:val="BodyText"/>
      </w:pPr>
      <w:r>
        <w:t xml:space="preserve">Lopez, C. M., Wallich, R., Riesbeck, K., </w:t>
      </w:r>
      <w:proofErr w:type="spellStart"/>
      <w:r>
        <w:t>Skerka</w:t>
      </w:r>
      <w:proofErr w:type="spellEnd"/>
      <w:r>
        <w:t xml:space="preserve">, C., &amp; Zipfel, P. F. (2014). Candida albicans uses the surface protein Gpm1 to attach to human endothelial cells and to keratinocytes via the adhesive protein vitronectin. </w:t>
      </w:r>
      <w:proofErr w:type="spellStart"/>
      <w:r>
        <w:t>PLoS</w:t>
      </w:r>
      <w:proofErr w:type="spellEnd"/>
      <w:r>
        <w:t xml:space="preserve"> ONE, 9(3), Article e90796.</w:t>
      </w:r>
    </w:p>
    <w:p w14:paraId="1D1BB776" w14:textId="3A154130" w:rsidR="00C11D26" w:rsidRDefault="004E4628" w:rsidP="004E4628">
      <w:pPr>
        <w:pStyle w:val="BodyText"/>
      </w:pPr>
      <w:r>
        <w:t xml:space="preserve">Lorenz, M. C., Bender, J. A., &amp; Fink, G. R. (2004). Transcriptional response of Candida albicans upon internalization by macrophages. Eukaryotic Cell, 3(5), 1076–1087. </w:t>
      </w:r>
      <w:hyperlink r:id="rId78" w:history="1">
        <w:r w:rsidR="00C11D26" w:rsidRPr="001263DC">
          <w:rPr>
            <w:rStyle w:val="Hyperlink"/>
          </w:rPr>
          <w:t>https://doi.org/10.1128/EC.3.5.1076-1087.2004</w:t>
        </w:r>
      </w:hyperlink>
    </w:p>
    <w:p w14:paraId="335F0550" w14:textId="15A60508" w:rsidR="00C11D26" w:rsidRDefault="004E4628" w:rsidP="004E4628">
      <w:pPr>
        <w:pStyle w:val="BodyText"/>
      </w:pPr>
      <w:r>
        <w:t xml:space="preserve">Lutz, B., Marsicano, G., Maldonado, R., &amp; Hillard, C. J. (2015). The endocannabinoid system </w:t>
      </w:r>
      <w:proofErr w:type="gramStart"/>
      <w:r>
        <w:t>in</w:t>
      </w:r>
      <w:proofErr w:type="gramEnd"/>
      <w:r>
        <w:t xml:space="preserve"> guarding against fear, anxiety and stress. Nature Reviews Neuroscience, 16(12), 705–718. </w:t>
      </w:r>
      <w:hyperlink r:id="rId79" w:history="1">
        <w:r w:rsidR="00C11D26" w:rsidRPr="001263DC">
          <w:rPr>
            <w:rStyle w:val="Hyperlink"/>
          </w:rPr>
          <w:t>https://doi.org/10.1038/nrn4036</w:t>
        </w:r>
      </w:hyperlink>
    </w:p>
    <w:p w14:paraId="563A0D8D" w14:textId="60302DEF" w:rsidR="00C11D26" w:rsidRDefault="004E4628" w:rsidP="004E4628">
      <w:pPr>
        <w:pStyle w:val="BodyText"/>
      </w:pPr>
      <w:r>
        <w:t xml:space="preserve">Lyons, R. P., et al. (2015). Continuous 1.3-million-year record of East African hydroclimate, and implications for patterns of evolution and biodiversity. Proceedings of the National Academy of Sciences, 112(51), 15568–15573. </w:t>
      </w:r>
      <w:hyperlink r:id="rId80" w:history="1">
        <w:r w:rsidR="00C11D26" w:rsidRPr="001263DC">
          <w:rPr>
            <w:rStyle w:val="Hyperlink"/>
          </w:rPr>
          <w:t>https://doi.org/10.1073/pnas.1512864112</w:t>
        </w:r>
      </w:hyperlink>
    </w:p>
    <w:p w14:paraId="2A19819B" w14:textId="2544A9FD" w:rsidR="00C11D26" w:rsidRDefault="004E4628" w:rsidP="004E4628">
      <w:pPr>
        <w:pStyle w:val="BodyText"/>
      </w:pPr>
      <w:r>
        <w:t xml:space="preserve">Markey, L., et al. (2020). Colonization with the commensal fungus Candida albicans perturbs the gut-brain axis through dysregulation of endocannabinoid signaling. </w:t>
      </w:r>
      <w:proofErr w:type="spellStart"/>
      <w:r>
        <w:t>Psychoneuroendocrinology</w:t>
      </w:r>
      <w:proofErr w:type="spellEnd"/>
      <w:r>
        <w:t xml:space="preserve">, 121, Article 104808. </w:t>
      </w:r>
      <w:hyperlink r:id="rId81" w:history="1">
        <w:r w:rsidR="00C11D26" w:rsidRPr="001263DC">
          <w:rPr>
            <w:rStyle w:val="Hyperlink"/>
          </w:rPr>
          <w:t>https://doi.org/10.1016/j.psyneuen.2020.104808</w:t>
        </w:r>
      </w:hyperlink>
    </w:p>
    <w:p w14:paraId="54C91262" w14:textId="4F3B1ECD" w:rsidR="00C11D26" w:rsidRDefault="004E4628" w:rsidP="004E4628">
      <w:pPr>
        <w:pStyle w:val="BodyText"/>
      </w:pPr>
      <w:r>
        <w:t xml:space="preserve">Martínez-López, R., et al. (2022). Candida albicans hyphal extracellular vesicles are different from yeast ones, carrying an active proteasome complex and showing a different role in host immune response. </w:t>
      </w:r>
      <w:proofErr w:type="spellStart"/>
      <w:r>
        <w:t>mSphere</w:t>
      </w:r>
      <w:proofErr w:type="spellEnd"/>
      <w:r>
        <w:t xml:space="preserve">, 7(3), Article e00098-22. </w:t>
      </w:r>
      <w:hyperlink r:id="rId82" w:history="1">
        <w:r w:rsidR="00C11D26" w:rsidRPr="001263DC">
          <w:rPr>
            <w:rStyle w:val="Hyperlink"/>
          </w:rPr>
          <w:t>https://doi.org/10.1128/msphere.00098-22</w:t>
        </w:r>
      </w:hyperlink>
    </w:p>
    <w:p w14:paraId="3B853604" w14:textId="4446376C" w:rsidR="004E4628" w:rsidRDefault="004E4628" w:rsidP="004E4628">
      <w:pPr>
        <w:pStyle w:val="BodyText"/>
      </w:pPr>
      <w:proofErr w:type="spellStart"/>
      <w:r>
        <w:t>Masachis</w:t>
      </w:r>
      <w:proofErr w:type="spellEnd"/>
      <w:r>
        <w:t>, S., et al. (2016). A fungal pathogen secretes plant alkalinizing peptides to increase infection. Nature Microbiology, 1, Article 16043.</w:t>
      </w:r>
    </w:p>
    <w:p w14:paraId="73768221" w14:textId="04662F33" w:rsidR="00C11D26" w:rsidRDefault="004E4628" w:rsidP="004E4628">
      <w:pPr>
        <w:pStyle w:val="BodyText"/>
      </w:pPr>
      <w:r>
        <w:t xml:space="preserve">Maslin, M. A., Brierley, C. M., Milner, A. M., Shultz, S., Trauth, M. H., &amp; Wilson, K. E. (2014). East African climate pulses and early human evolution. Quaternary Science Reviews, 101, 1–17. </w:t>
      </w:r>
      <w:hyperlink r:id="rId83" w:history="1">
        <w:r w:rsidR="00C11D26" w:rsidRPr="001263DC">
          <w:rPr>
            <w:rStyle w:val="Hyperlink"/>
          </w:rPr>
          <w:t>https://doi.org/10.1016/j.quascirev.2014.06.012</w:t>
        </w:r>
      </w:hyperlink>
    </w:p>
    <w:p w14:paraId="79F14405" w14:textId="223557D0" w:rsidR="00C11D26" w:rsidRDefault="004E4628" w:rsidP="004E4628">
      <w:pPr>
        <w:pStyle w:val="BodyText"/>
      </w:pPr>
      <w:r>
        <w:t xml:space="preserve">Maslin, M. A., Shultz, S., &amp; Trauth, M. H. (2015). A synthesis of the theories and concepts of early human evolution. Philosophical Transactions of the Royal Society B, 370(1663), Article 20140064. </w:t>
      </w:r>
      <w:hyperlink r:id="rId84" w:history="1">
        <w:r w:rsidR="00C11D26" w:rsidRPr="001263DC">
          <w:rPr>
            <w:rStyle w:val="Hyperlink"/>
          </w:rPr>
          <w:t>https://doi.org/10.1098/rstb.2014.0064</w:t>
        </w:r>
      </w:hyperlink>
    </w:p>
    <w:p w14:paraId="32DAE760" w14:textId="4BE060E0" w:rsidR="00C11D26" w:rsidRDefault="004E4628" w:rsidP="004E4628">
      <w:pPr>
        <w:pStyle w:val="BodyText"/>
      </w:pPr>
      <w:r>
        <w:lastRenderedPageBreak/>
        <w:t xml:space="preserve">Maslin, M. A., &amp; Trauth, M. H. (2009). </w:t>
      </w:r>
      <w:proofErr w:type="spellStart"/>
      <w:r>
        <w:t>Plio</w:t>
      </w:r>
      <w:proofErr w:type="spellEnd"/>
      <w:r>
        <w:t xml:space="preserve">-Pleistocene East African pulsed climate variability and its influence on early human evolution. In F. E. Grine, J. G. Fleagle, &amp; R. E. Leakey (Eds.), The first humans — Origin and early evolution of the genus Homo. Springer. </w:t>
      </w:r>
      <w:hyperlink r:id="rId85" w:history="1">
        <w:r w:rsidR="00C11D26" w:rsidRPr="001263DC">
          <w:rPr>
            <w:rStyle w:val="Hyperlink"/>
          </w:rPr>
          <w:t>https://doi.org/10.1007/978-1-4020-9980-9_13</w:t>
        </w:r>
      </w:hyperlink>
    </w:p>
    <w:p w14:paraId="7D396098" w14:textId="6B1C2C43" w:rsidR="00C11D26" w:rsidRDefault="004E4628" w:rsidP="004E4628">
      <w:pPr>
        <w:pStyle w:val="BodyText"/>
      </w:pPr>
      <w:r>
        <w:t xml:space="preserve">McManus, B. A., et al. (2008). </w:t>
      </w:r>
      <w:proofErr w:type="spellStart"/>
      <w:r>
        <w:t>Multilocus</w:t>
      </w:r>
      <w:proofErr w:type="spellEnd"/>
      <w:r>
        <w:t xml:space="preserve"> sequence typing reveals that the population structure of Candida </w:t>
      </w:r>
      <w:proofErr w:type="spellStart"/>
      <w:r>
        <w:t>dubliniensis</w:t>
      </w:r>
      <w:proofErr w:type="spellEnd"/>
      <w:r>
        <w:t xml:space="preserve"> is significantly less divergent than that of Candida albicans. Journal of Clinical Microbiology, 46(2), 652–664. </w:t>
      </w:r>
      <w:hyperlink r:id="rId86" w:history="1">
        <w:r w:rsidR="00C11D26" w:rsidRPr="001263DC">
          <w:rPr>
            <w:rStyle w:val="Hyperlink"/>
          </w:rPr>
          <w:t>https://doi.org/10.1128/JCM.01574-07</w:t>
        </w:r>
      </w:hyperlink>
    </w:p>
    <w:p w14:paraId="5C95DE72" w14:textId="183325AF" w:rsidR="00C11D26" w:rsidRDefault="004E4628" w:rsidP="004E4628">
      <w:pPr>
        <w:pStyle w:val="BodyText"/>
      </w:pPr>
      <w:r>
        <w:t xml:space="preserve">McPartland, J. M., et al. (2006). Cannabinoid receptors in invertebrates. Journal of Evolutionary Biology, 19(2), 366–373. </w:t>
      </w:r>
      <w:hyperlink r:id="rId87" w:history="1">
        <w:r w:rsidR="00C11D26" w:rsidRPr="001263DC">
          <w:rPr>
            <w:rStyle w:val="Hyperlink"/>
          </w:rPr>
          <w:t>https://doi.org/10.1111/j.1420-9101.2005.01028.x</w:t>
        </w:r>
      </w:hyperlink>
    </w:p>
    <w:p w14:paraId="3F8E82BE" w14:textId="7579CC0C" w:rsidR="00C11D26" w:rsidRDefault="004E4628" w:rsidP="004E4628">
      <w:pPr>
        <w:pStyle w:val="BodyText"/>
      </w:pPr>
      <w:r>
        <w:t xml:space="preserve">McPartland, J. M., Hegman, W., &amp; Long, T. (2019). Cannabis in Asia: Its center of origin and early cultivation, based on a synthesis of subfossil pollen and archaeobotanical studies. Vegetation History and </w:t>
      </w:r>
      <w:proofErr w:type="spellStart"/>
      <w:r>
        <w:t>Archaeobotany</w:t>
      </w:r>
      <w:proofErr w:type="spellEnd"/>
      <w:r>
        <w:t xml:space="preserve">, 28(6), 691–702. </w:t>
      </w:r>
      <w:hyperlink r:id="rId88" w:history="1">
        <w:r w:rsidR="00C11D26" w:rsidRPr="001263DC">
          <w:rPr>
            <w:rStyle w:val="Hyperlink"/>
          </w:rPr>
          <w:t>https://doi.org/10.1007/s00334-019-00731-8</w:t>
        </w:r>
      </w:hyperlink>
    </w:p>
    <w:p w14:paraId="780690C7" w14:textId="1AE78964" w:rsidR="00C11D26" w:rsidRDefault="004E4628" w:rsidP="004E4628">
      <w:pPr>
        <w:pStyle w:val="BodyText"/>
      </w:pPr>
      <w:r>
        <w:t xml:space="preserve">Metzger, D. C. H., &amp; Schulte, P. M. (2018). The DNA methylation landscape of stickleback reveals patterns of sex chromosome evolution and effects of environmental salinity. Genome Biology and Evolution, 10(3), 775–785. </w:t>
      </w:r>
      <w:hyperlink r:id="rId89" w:history="1">
        <w:r w:rsidR="00C11D26" w:rsidRPr="001263DC">
          <w:rPr>
            <w:rStyle w:val="Hyperlink"/>
          </w:rPr>
          <w:t>https://doi.org/10.1093/gbe/evy034</w:t>
        </w:r>
      </w:hyperlink>
    </w:p>
    <w:p w14:paraId="156F095C" w14:textId="4C15B67C" w:rsidR="00C11D26" w:rsidRDefault="004E4628" w:rsidP="004E4628">
      <w:pPr>
        <w:pStyle w:val="BodyText"/>
      </w:pPr>
      <w:r>
        <w:t xml:space="preserve">Midkiff, J., </w:t>
      </w:r>
      <w:proofErr w:type="spellStart"/>
      <w:r>
        <w:t>Borochoff</w:t>
      </w:r>
      <w:proofErr w:type="spellEnd"/>
      <w:r>
        <w:t xml:space="preserve">-Porte, N., White, D., &amp; Johnson, D. I. (2011). Small molecule inhibitors of the Candida albicans budded-to-hyphal transition act through multiple signaling pathways. </w:t>
      </w:r>
      <w:proofErr w:type="spellStart"/>
      <w:r>
        <w:t>PLoS</w:t>
      </w:r>
      <w:proofErr w:type="spellEnd"/>
      <w:r>
        <w:t xml:space="preserve"> ONE, 6(9), Article e25395. </w:t>
      </w:r>
      <w:hyperlink r:id="rId90" w:history="1">
        <w:r w:rsidR="00C11D26" w:rsidRPr="001263DC">
          <w:rPr>
            <w:rStyle w:val="Hyperlink"/>
          </w:rPr>
          <w:t>https://doi.org/10.1371/journal.pone.0025395</w:t>
        </w:r>
      </w:hyperlink>
    </w:p>
    <w:p w14:paraId="156EDF52" w14:textId="52A16A12" w:rsidR="00C11D26" w:rsidRDefault="004E4628" w:rsidP="004E4628">
      <w:pPr>
        <w:pStyle w:val="BodyText"/>
      </w:pPr>
      <w:r>
        <w:t xml:space="preserve">Mishra, P. K., Baum, M., &amp; Carbon, J. (2011). DNA methylation regulates phenotype-dependent transcriptional activity in Candida albicans. Proceedings of the National Academy of Sciences, 108(29), 11965–11970. </w:t>
      </w:r>
      <w:hyperlink r:id="rId91" w:history="1">
        <w:r w:rsidR="00C11D26" w:rsidRPr="001263DC">
          <w:rPr>
            <w:rStyle w:val="Hyperlink"/>
          </w:rPr>
          <w:t>https://doi.org/10.1073/pnas.1109631108</w:t>
        </w:r>
      </w:hyperlink>
    </w:p>
    <w:p w14:paraId="22F374DC" w14:textId="04719BB3" w:rsidR="00C11D26" w:rsidRDefault="004E4628" w:rsidP="004E4628">
      <w:pPr>
        <w:pStyle w:val="BodyText"/>
      </w:pPr>
      <w:r>
        <w:t xml:space="preserve">Mitchell, A., et al. (2009). Adaptive prediction of environmental changes by microorganisms. Nature, 460, 220–224. </w:t>
      </w:r>
      <w:hyperlink r:id="rId92" w:history="1">
        <w:r w:rsidR="00C11D26" w:rsidRPr="001263DC">
          <w:rPr>
            <w:rStyle w:val="Hyperlink"/>
          </w:rPr>
          <w:t>https://doi.org/10.1038/nature08112</w:t>
        </w:r>
      </w:hyperlink>
    </w:p>
    <w:p w14:paraId="2EF918A3" w14:textId="4855E9B4" w:rsidR="00C11D26" w:rsidRDefault="004E4628" w:rsidP="004E4628">
      <w:pPr>
        <w:pStyle w:val="BodyText"/>
      </w:pPr>
      <w:r>
        <w:t xml:space="preserve">Moyes, D. L., et al. (2016). Candidalysin is a fungal peptide toxin critical for mucosal infection. Nature, 532(7597), 64–68. </w:t>
      </w:r>
      <w:hyperlink r:id="rId93" w:history="1">
        <w:r w:rsidR="00C11D26" w:rsidRPr="001263DC">
          <w:rPr>
            <w:rStyle w:val="Hyperlink"/>
          </w:rPr>
          <w:t>https://doi.org/10.1038/nature17625</w:t>
        </w:r>
      </w:hyperlink>
    </w:p>
    <w:p w14:paraId="3F6F474F" w14:textId="69B063FF" w:rsidR="00C11D26" w:rsidRDefault="004E4628" w:rsidP="004E4628">
      <w:pPr>
        <w:pStyle w:val="BodyText"/>
      </w:pPr>
      <w:r>
        <w:t xml:space="preserve">Moyes, D. L., et al. (2019). Candidalysin activates innate epithelial immune responses via epidermal growth factor receptor. Nature Communications, 10, Article 2297. </w:t>
      </w:r>
      <w:hyperlink r:id="rId94" w:history="1">
        <w:r w:rsidR="00C11D26" w:rsidRPr="001263DC">
          <w:rPr>
            <w:rStyle w:val="Hyperlink"/>
          </w:rPr>
          <w:t>https://doi.org/10.1038/s41467-019-09915-2</w:t>
        </w:r>
      </w:hyperlink>
    </w:p>
    <w:p w14:paraId="7E584D20" w14:textId="01373EC2" w:rsidR="00C11D26" w:rsidRDefault="004E4628" w:rsidP="004E4628">
      <w:pPr>
        <w:pStyle w:val="BodyText"/>
      </w:pPr>
      <w:r>
        <w:t xml:space="preserve">Murphy, S. K., Itchon-Ramos, N., </w:t>
      </w:r>
      <w:proofErr w:type="spellStart"/>
      <w:r>
        <w:t>Vber</w:t>
      </w:r>
      <w:proofErr w:type="spellEnd"/>
      <w:r>
        <w:t xml:space="preserve">, Z., et al. (2018). Cannabinoid exposure and altered DNA methylation in </w:t>
      </w:r>
      <w:proofErr w:type="gramStart"/>
      <w:r>
        <w:t>rat</w:t>
      </w:r>
      <w:proofErr w:type="gramEnd"/>
      <w:r>
        <w:t xml:space="preserve"> and human sperm. Epigenetics, 13(12), 1208–1221. </w:t>
      </w:r>
      <w:hyperlink r:id="rId95" w:history="1">
        <w:r w:rsidR="00C11D26" w:rsidRPr="001263DC">
          <w:rPr>
            <w:rStyle w:val="Hyperlink"/>
          </w:rPr>
          <w:t>https://doi.org/10.1080/15592294.2018.1554521</w:t>
        </w:r>
      </w:hyperlink>
    </w:p>
    <w:p w14:paraId="532D9209" w14:textId="4202BEA3" w:rsidR="00C11D26" w:rsidRDefault="004E4628" w:rsidP="004E4628">
      <w:pPr>
        <w:pStyle w:val="BodyText"/>
      </w:pPr>
      <w:proofErr w:type="spellStart"/>
      <w:r>
        <w:t>Naglik</w:t>
      </w:r>
      <w:proofErr w:type="spellEnd"/>
      <w:r>
        <w:t xml:space="preserve">, J. R., et al. (2022). Pathogenesis and virulence of Candida albicans. Virulence, 13(1), 1–45. </w:t>
      </w:r>
      <w:hyperlink r:id="rId96" w:history="1">
        <w:r w:rsidR="00C11D26" w:rsidRPr="001263DC">
          <w:rPr>
            <w:rStyle w:val="Hyperlink"/>
          </w:rPr>
          <w:t>https://doi.org/10.1080/21505594.2021.2019950</w:t>
        </w:r>
      </w:hyperlink>
    </w:p>
    <w:p w14:paraId="3467C8E3" w14:textId="36256201" w:rsidR="004E4628" w:rsidRDefault="004E4628" w:rsidP="004E4628">
      <w:pPr>
        <w:pStyle w:val="BodyText"/>
      </w:pPr>
      <w:r>
        <w:t>Navarathna, D. H., Nickerson, K. W., et al. (2007). Farnesol modulates Candida albicans morphogenesis and host immune interactions. FEMS Yeast Research.</w:t>
      </w:r>
    </w:p>
    <w:p w14:paraId="1883B193" w14:textId="22053BF9" w:rsidR="00C11D26" w:rsidRDefault="004E4628" w:rsidP="004E4628">
      <w:pPr>
        <w:pStyle w:val="BodyText"/>
      </w:pPr>
      <w:r>
        <w:t>NCD Risk Factor Collaboration (NCD-</w:t>
      </w:r>
      <w:proofErr w:type="spellStart"/>
      <w:r>
        <w:t>RisC</w:t>
      </w:r>
      <w:proofErr w:type="spellEnd"/>
      <w:r>
        <w:t xml:space="preserve">). (2021). Worldwide trends in hypertension prevalence and progress in treatment and control from 1990 to 2019: A pooled analysis of 1201 </w:t>
      </w:r>
      <w:r>
        <w:lastRenderedPageBreak/>
        <w:t xml:space="preserve">population-representative studies with 104 million participants. The Lancet, 398(10304), 957–980. </w:t>
      </w:r>
      <w:hyperlink r:id="rId97" w:history="1">
        <w:r w:rsidR="00C11D26" w:rsidRPr="001263DC">
          <w:rPr>
            <w:rStyle w:val="Hyperlink"/>
          </w:rPr>
          <w:t>https://doi.org/10.1016/S0140-6736(21)01330-1</w:t>
        </w:r>
      </w:hyperlink>
    </w:p>
    <w:p w14:paraId="0296BF03" w14:textId="3D0589C9" w:rsidR="00C11D26" w:rsidRDefault="004E4628" w:rsidP="004E4628">
      <w:pPr>
        <w:pStyle w:val="BodyText"/>
      </w:pPr>
      <w:r>
        <w:t xml:space="preserve">Nickerson, K. W., et al. (2023). Physiological adventures in Candida albicans: Farnesol and </w:t>
      </w:r>
      <w:proofErr w:type="spellStart"/>
      <w:r>
        <w:t>ubiquinones</w:t>
      </w:r>
      <w:proofErr w:type="spellEnd"/>
      <w:r>
        <w:t xml:space="preserve">. Microbiology and Molecular Biology Reviews. </w:t>
      </w:r>
      <w:hyperlink r:id="rId98" w:history="1">
        <w:r w:rsidR="00C11D26" w:rsidRPr="001263DC">
          <w:rPr>
            <w:rStyle w:val="Hyperlink"/>
          </w:rPr>
          <w:t>https://doi.org/10.1128/mmbr.00081-22</w:t>
        </w:r>
      </w:hyperlink>
    </w:p>
    <w:p w14:paraId="7DF3C0EB" w14:textId="075C7F92" w:rsidR="004E4628" w:rsidRDefault="004E4628" w:rsidP="004E4628">
      <w:pPr>
        <w:pStyle w:val="BodyText"/>
      </w:pPr>
      <w:r>
        <w:t xml:space="preserve">Nile, C. J., et al. (2018). Repurposing pilocarpine hydrochloride for treatment of Candida albicans infections. </w:t>
      </w:r>
      <w:proofErr w:type="spellStart"/>
      <w:r>
        <w:t>mSphere</w:t>
      </w:r>
      <w:proofErr w:type="spellEnd"/>
      <w:r>
        <w:t>, 3(6), Article e00689-18.</w:t>
      </w:r>
    </w:p>
    <w:p w14:paraId="595041CA" w14:textId="5B183CD5" w:rsidR="00C11D26" w:rsidRDefault="004E4628" w:rsidP="004E4628">
      <w:pPr>
        <w:pStyle w:val="BodyText"/>
      </w:pPr>
      <w:r>
        <w:t xml:space="preserve">Nobile, C. J., et al. (2021). Evolution of the complex transcription network controlling biofilm formation in Candida species. </w:t>
      </w:r>
      <w:proofErr w:type="spellStart"/>
      <w:r>
        <w:t>eLife</w:t>
      </w:r>
      <w:proofErr w:type="spellEnd"/>
      <w:r>
        <w:t xml:space="preserve">, 10, Article e64682. </w:t>
      </w:r>
      <w:hyperlink r:id="rId99" w:history="1">
        <w:r w:rsidR="00C11D26" w:rsidRPr="001263DC">
          <w:rPr>
            <w:rStyle w:val="Hyperlink"/>
          </w:rPr>
          <w:t>https://doi.org/10.7554/eLife.64682</w:t>
        </w:r>
      </w:hyperlink>
    </w:p>
    <w:p w14:paraId="4114ED3D" w14:textId="5FCD129F" w:rsidR="00C11D26" w:rsidRDefault="004E4628" w:rsidP="004E4628">
      <w:pPr>
        <w:pStyle w:val="BodyText"/>
      </w:pPr>
      <w:r>
        <w:t xml:space="preserve">Noll, A., et al. (2025). Candida albicans biofilm extracellular vesicles deliver </w:t>
      </w:r>
      <w:proofErr w:type="spellStart"/>
      <w:r>
        <w:t>candidalysin</w:t>
      </w:r>
      <w:proofErr w:type="spellEnd"/>
      <w:r>
        <w:t xml:space="preserve"> to epithelial cell membranes and induce host cell responses. Infection and Immunity. </w:t>
      </w:r>
      <w:hyperlink r:id="rId100" w:history="1">
        <w:r w:rsidR="00C11D26" w:rsidRPr="001263DC">
          <w:rPr>
            <w:rStyle w:val="Hyperlink"/>
          </w:rPr>
          <w:t>https://doi.org/10.1128/iai.00404-24</w:t>
        </w:r>
      </w:hyperlink>
    </w:p>
    <w:p w14:paraId="5F2501FE" w14:textId="21A48F29" w:rsidR="004E4628" w:rsidRDefault="004E4628" w:rsidP="004E4628">
      <w:pPr>
        <w:pStyle w:val="BodyText"/>
      </w:pPr>
      <w:proofErr w:type="spellStart"/>
      <w:r>
        <w:t>Noverr</w:t>
      </w:r>
      <w:proofErr w:type="spellEnd"/>
      <w:r>
        <w:t>, M. C., &amp; Huffnagle, G. B. (2004). Regulation of Candida albicans morphogenesis by fatty acid metabolites. Infection and Immunity, 72(11), 6206–6210.</w:t>
      </w:r>
    </w:p>
    <w:p w14:paraId="71CED6BB" w14:textId="0408FA10" w:rsidR="00C11D26" w:rsidRDefault="004E4628" w:rsidP="004E4628">
      <w:pPr>
        <w:pStyle w:val="BodyText"/>
      </w:pPr>
      <w:proofErr w:type="spellStart"/>
      <w:r>
        <w:t>Noverr</w:t>
      </w:r>
      <w:proofErr w:type="spellEnd"/>
      <w:r>
        <w:t xml:space="preserve">, M. C., Phare, S. M., Toews, G. B., Coffey, M. J., &amp; Huffnagle, G. B. (2001). Pathogenic yeasts Cryptococcus neoformans and Candida albicans produce immunomodulatory prostaglandins. Infection and Immunity, 69(5), 2957–2963. </w:t>
      </w:r>
      <w:hyperlink r:id="rId101" w:history="1">
        <w:r w:rsidR="00C11D26" w:rsidRPr="001263DC">
          <w:rPr>
            <w:rStyle w:val="Hyperlink"/>
          </w:rPr>
          <w:t>https://doi.org/10.1128/IAI.69.5.2957-2963.2001</w:t>
        </w:r>
      </w:hyperlink>
    </w:p>
    <w:p w14:paraId="12D5BCB8" w14:textId="57ABB86B" w:rsidR="004E4628" w:rsidRDefault="004E4628" w:rsidP="004E4628">
      <w:pPr>
        <w:pStyle w:val="BodyText"/>
      </w:pPr>
      <w:r>
        <w:t>Ost, K. S., &amp; Round, J. L. (2023). Commensal fungi in intestinal health and disease. Nature Reviews Gastroenterology &amp; Hepatology, 20, 723–734.</w:t>
      </w:r>
    </w:p>
    <w:p w14:paraId="63A2806A" w14:textId="638C7F76" w:rsidR="00C11D26" w:rsidRDefault="004E4628" w:rsidP="004E4628">
      <w:pPr>
        <w:pStyle w:val="BodyText"/>
      </w:pPr>
      <w:proofErr w:type="spellStart"/>
      <w:r>
        <w:t>Pacioni</w:t>
      </w:r>
      <w:proofErr w:type="spellEnd"/>
      <w:r>
        <w:t xml:space="preserve">, G., Rapino, C., Zarivi, O., et al. (2015). Truffles contain endocannabinoid metabolic enzymes and anandamide. Phytochemistry, 110, 104–110. </w:t>
      </w:r>
      <w:hyperlink r:id="rId102" w:history="1">
        <w:r w:rsidR="00C11D26" w:rsidRPr="001263DC">
          <w:rPr>
            <w:rStyle w:val="Hyperlink"/>
          </w:rPr>
          <w:t>https://doi.org/10.1016/j.phytochem.2014.11.012</w:t>
        </w:r>
      </w:hyperlink>
    </w:p>
    <w:p w14:paraId="78FAA668" w14:textId="7767C94D" w:rsidR="004E4628" w:rsidRDefault="004E4628" w:rsidP="004E4628">
      <w:pPr>
        <w:pStyle w:val="BodyText"/>
      </w:pPr>
      <w:r>
        <w:t>Pagotto, U., Marsicano, G., Cota, D., Lutz, B., &amp; Pasquali, R. (2006). The emerging role of the endocannabinoid system in endocrine regulation and energy balance. Endocrine Reviews, 27(1), 73–100.</w:t>
      </w:r>
    </w:p>
    <w:p w14:paraId="06707E4D" w14:textId="0BDE2FD6" w:rsidR="00C11D26" w:rsidRDefault="004E4628" w:rsidP="004E4628">
      <w:pPr>
        <w:pStyle w:val="BodyText"/>
      </w:pPr>
      <w:r>
        <w:t xml:space="preserve">Pandey, R., et al. (2009). Endocannabinoids and immune regulation. Pharmacological Research, 60(2), 85–92. </w:t>
      </w:r>
      <w:hyperlink r:id="rId103" w:history="1">
        <w:r w:rsidR="00C11D26" w:rsidRPr="001263DC">
          <w:rPr>
            <w:rStyle w:val="Hyperlink"/>
          </w:rPr>
          <w:t>https://doi.org/10.1016/j.phrs.2009.03.019</w:t>
        </w:r>
      </w:hyperlink>
    </w:p>
    <w:p w14:paraId="4DB29744" w14:textId="41FF9E80" w:rsidR="00C11D26" w:rsidRDefault="004E4628" w:rsidP="004E4628">
      <w:pPr>
        <w:pStyle w:val="BodyText"/>
      </w:pPr>
      <w:r>
        <w:t xml:space="preserve">Peres da Silva, R., et al. (2022). The RNA content of fungal extracellular vesicles: At the "cutting-edge" of pathophysiology regulation. Cells, 11(14), Article 2235. </w:t>
      </w:r>
      <w:hyperlink r:id="rId104" w:history="1">
        <w:r w:rsidR="00C11D26" w:rsidRPr="001263DC">
          <w:rPr>
            <w:rStyle w:val="Hyperlink"/>
          </w:rPr>
          <w:t>https://doi.org/10.3390/cells11142235</w:t>
        </w:r>
      </w:hyperlink>
    </w:p>
    <w:p w14:paraId="2956ECFB" w14:textId="64BD4FFD" w:rsidR="004E4628" w:rsidRDefault="004E4628" w:rsidP="004E4628">
      <w:pPr>
        <w:pStyle w:val="BodyText"/>
      </w:pPr>
      <w:r>
        <w:t xml:space="preserve">Perestrelo, R., et al. (2020). Candida species (volatile) </w:t>
      </w:r>
      <w:proofErr w:type="spellStart"/>
      <w:r>
        <w:t>metabotyping</w:t>
      </w:r>
      <w:proofErr w:type="spellEnd"/>
      <w:r>
        <w:t xml:space="preserve"> through advanced comprehensive two-dimensional gas chromatography. Microorganisms, 8(12), Article 1911.</w:t>
      </w:r>
    </w:p>
    <w:p w14:paraId="188808B9" w14:textId="21D178EA" w:rsidR="00C11D26" w:rsidRDefault="004E4628" w:rsidP="004E4628">
      <w:pPr>
        <w:pStyle w:val="BodyText"/>
      </w:pPr>
      <w:proofErr w:type="spellStart"/>
      <w:r>
        <w:t>Peroumal</w:t>
      </w:r>
      <w:proofErr w:type="spellEnd"/>
      <w:r>
        <w:t xml:space="preserve">, D., et al. (2022). Commensal fungus Candida albicans maintains a long-term mutualistic relationship with the host to modulate gut microbiota and metabolism. Microbiology Spectrum. </w:t>
      </w:r>
      <w:hyperlink r:id="rId105" w:history="1">
        <w:r w:rsidR="00C11D26" w:rsidRPr="001263DC">
          <w:rPr>
            <w:rStyle w:val="Hyperlink"/>
          </w:rPr>
          <w:t>https://doi.org/10.1128/spectrum.02462-22</w:t>
        </w:r>
      </w:hyperlink>
    </w:p>
    <w:p w14:paraId="5950A8EE" w14:textId="6AB76419" w:rsidR="00C11D26" w:rsidRDefault="004E4628" w:rsidP="004E4628">
      <w:pPr>
        <w:pStyle w:val="BodyText"/>
      </w:pPr>
      <w:r>
        <w:lastRenderedPageBreak/>
        <w:t xml:space="preserve">Pertwee, R. G. (2008). The diverse CB1 and CB2 receptor pharmacology of three plant cannabinoids: Δ9-tetrahydrocannabinol, cannabidiol and Δ9-tetrahydrocannabivarin. British Journal of Pharmacology, 153(2), 199–215. </w:t>
      </w:r>
      <w:hyperlink r:id="rId106" w:history="1">
        <w:r w:rsidR="00C11D26" w:rsidRPr="001263DC">
          <w:rPr>
            <w:rStyle w:val="Hyperlink"/>
          </w:rPr>
          <w:t>https://doi.org/10.1038/sj.bjp.0707442</w:t>
        </w:r>
      </w:hyperlink>
    </w:p>
    <w:p w14:paraId="45325428" w14:textId="254683D2" w:rsidR="003428BF" w:rsidRDefault="003428BF" w:rsidP="003428BF">
      <w:pPr>
        <w:pStyle w:val="BodyText"/>
      </w:pPr>
      <w:r w:rsidRPr="003428BF">
        <w:t xml:space="preserve">Petrie, K. L., Palmer, N. D., Johnson, D. T., Medina, S. J., Yan, S. J., Li, V., Burmeister, A. R., et al. (2018). Destabilizing mutations encode nongenetic variation that drives evolutionary innovation. Science, 359(6383), 1542–1545. </w:t>
      </w:r>
      <w:hyperlink r:id="rId107" w:history="1">
        <w:r w:rsidRPr="003428BF">
          <w:rPr>
            <w:rStyle w:val="Hyperlink"/>
          </w:rPr>
          <w:t>https://doi.org/10.1126/science.aar1954</w:t>
        </w:r>
      </w:hyperlink>
    </w:p>
    <w:p w14:paraId="50AB6BA9" w14:textId="16FBEA1A" w:rsidR="00C11D26" w:rsidRDefault="004E4628" w:rsidP="004E4628">
      <w:pPr>
        <w:pStyle w:val="BodyText"/>
      </w:pPr>
      <w:proofErr w:type="spellStart"/>
      <w:r>
        <w:t>Porquier</w:t>
      </w:r>
      <w:proofErr w:type="spellEnd"/>
      <w:r>
        <w:t xml:space="preserve">, A., et al. (2023). A fungal RNA-dependent RNA polymerase is a novel player in plant infection and cross-kingdom RNA interference. </w:t>
      </w:r>
      <w:proofErr w:type="spellStart"/>
      <w:r>
        <w:t>PLoS</w:t>
      </w:r>
      <w:proofErr w:type="spellEnd"/>
      <w:r>
        <w:t xml:space="preserve"> Pathogens, 19(12), Article e1011885. </w:t>
      </w:r>
      <w:hyperlink r:id="rId108" w:history="1">
        <w:r w:rsidR="00C11D26" w:rsidRPr="001263DC">
          <w:rPr>
            <w:rStyle w:val="Hyperlink"/>
          </w:rPr>
          <w:t>https://doi.org/10.1371/journal.ppat.1011885</w:t>
        </w:r>
      </w:hyperlink>
    </w:p>
    <w:p w14:paraId="6090F47A" w14:textId="6CE2B7A0" w:rsidR="004E4628" w:rsidRDefault="004E4628" w:rsidP="004E4628">
      <w:pPr>
        <w:pStyle w:val="BodyText"/>
      </w:pPr>
      <w:r>
        <w:t>Potts, R. (1998). Variability selection in hominid evolution. Evolutionary Anthropology, 7(3), 81–96.</w:t>
      </w:r>
    </w:p>
    <w:p w14:paraId="43D017B7" w14:textId="2165E9C4" w:rsidR="00C11D26" w:rsidRDefault="004E4628" w:rsidP="004E4628">
      <w:pPr>
        <w:pStyle w:val="BodyText"/>
      </w:pPr>
      <w:r>
        <w:t xml:space="preserve">Pradhan, A., Avelar, G. M., Bain, J. M., Childers, D. S., Larcombe, D. E., </w:t>
      </w:r>
      <w:proofErr w:type="spellStart"/>
      <w:r>
        <w:t>Netea</w:t>
      </w:r>
      <w:proofErr w:type="spellEnd"/>
      <w:r>
        <w:t xml:space="preserve">, M. G., et al. (2018). Hypoxia promotes immune evasion by triggering β-glucan masking on the Candida albicans cell surface via mitochondrial and cAMP-protein kinase A signaling. mBio, 9(6), Article e01318-18. </w:t>
      </w:r>
      <w:hyperlink r:id="rId109" w:history="1">
        <w:r w:rsidR="00C11D26" w:rsidRPr="001263DC">
          <w:rPr>
            <w:rStyle w:val="Hyperlink"/>
          </w:rPr>
          <w:t>https://doi.org/10.1128/mBio.01318-18</w:t>
        </w:r>
      </w:hyperlink>
    </w:p>
    <w:p w14:paraId="1B93BD4D" w14:textId="24AAB435" w:rsidR="004E4628" w:rsidRDefault="004E4628" w:rsidP="004E4628">
      <w:pPr>
        <w:pStyle w:val="BodyText"/>
      </w:pPr>
      <w:r>
        <w:t xml:space="preserve">Rajendran, R., Borghi, E., </w:t>
      </w:r>
      <w:proofErr w:type="spellStart"/>
      <w:r>
        <w:t>Falleni</w:t>
      </w:r>
      <w:proofErr w:type="spellEnd"/>
      <w:r>
        <w:t xml:space="preserve">, M., et al. (2015). Acetylcholine protects against Candida albicans infection by inhibiting biofilm formation and promoting hemocyte function in a Galleria </w:t>
      </w:r>
      <w:proofErr w:type="spellStart"/>
      <w:r>
        <w:t>mellonella</w:t>
      </w:r>
      <w:proofErr w:type="spellEnd"/>
      <w:r>
        <w:t xml:space="preserve"> infection model. Eukaryotic Cell, 14(8), 834–844.</w:t>
      </w:r>
    </w:p>
    <w:p w14:paraId="494612A8" w14:textId="77777777" w:rsidR="004E4628" w:rsidRDefault="004E4628" w:rsidP="004E4628">
      <w:pPr>
        <w:pStyle w:val="BodyText"/>
      </w:pPr>
      <w:r>
        <w:t>Ramos, J., et al. (2022). Candida albicans potassium transporters. International Journal of Molecular Sciences, 23(9), Article 4884. https://doi.org/10.3390/ijms23094884</w:t>
      </w:r>
    </w:p>
    <w:p w14:paraId="4C5EE1A2" w14:textId="77777777" w:rsidR="004E4628" w:rsidRDefault="004E4628" w:rsidP="004E4628">
      <w:pPr>
        <w:pStyle w:val="BodyText"/>
      </w:pPr>
      <w:r>
        <w:t>Ren, M., Tang, Z., Wu, X., et al. (2019). The origins of cannabis smoking: Chemical residue evidence from the first millennium BCE in the Pamirs. Science Advances, 5(6), Article eaaw1391. https://doi.org/10.1126/sciadv.aaw1391</w:t>
      </w:r>
    </w:p>
    <w:p w14:paraId="71EEB138" w14:textId="32E8D3A1" w:rsidR="00C11D26" w:rsidRDefault="004E4628" w:rsidP="004E4628">
      <w:pPr>
        <w:pStyle w:val="BodyText"/>
      </w:pPr>
      <w:proofErr w:type="spellStart"/>
      <w:r>
        <w:t>Reuß</w:t>
      </w:r>
      <w:proofErr w:type="spellEnd"/>
      <w:r>
        <w:t xml:space="preserve">, O., &amp; </w:t>
      </w:r>
      <w:proofErr w:type="spellStart"/>
      <w:r>
        <w:t>Morschhäuser</w:t>
      </w:r>
      <w:proofErr w:type="spellEnd"/>
      <w:r>
        <w:t xml:space="preserve">, J. (2006). A family of oligopeptide transporters is required for growth of Candida albicans on proteins. Molecular Microbiology, 60(3), 795–812. </w:t>
      </w:r>
      <w:hyperlink r:id="rId110" w:history="1">
        <w:r w:rsidR="00C11D26" w:rsidRPr="001263DC">
          <w:rPr>
            <w:rStyle w:val="Hyperlink"/>
          </w:rPr>
          <w:t>https://doi.org/10.1111/j.1365-2958.2006.05136.x</w:t>
        </w:r>
      </w:hyperlink>
    </w:p>
    <w:p w14:paraId="60814C31" w14:textId="28F8F57E" w:rsidR="00C11D26" w:rsidRDefault="004E4628" w:rsidP="004E4628">
      <w:pPr>
        <w:pStyle w:val="BodyText"/>
      </w:pPr>
      <w:r>
        <w:t xml:space="preserve">Ribas, C. R., Rymovicz, A. U. M., Rosa, R. T., et al. (2019). Increments in virulence of Candida albicans induced by androgenic anabolic steroids. Steroids, 152, Article 108501. </w:t>
      </w:r>
      <w:hyperlink r:id="rId111" w:history="1">
        <w:r w:rsidR="00C11D26" w:rsidRPr="001263DC">
          <w:rPr>
            <w:rStyle w:val="Hyperlink"/>
          </w:rPr>
          <w:t>https://doi.org/10.1016/j.steroids.2019.108501</w:t>
        </w:r>
      </w:hyperlink>
    </w:p>
    <w:p w14:paraId="209633FD" w14:textId="79D44C55" w:rsidR="00C11D26" w:rsidRDefault="004E4628" w:rsidP="004E4628">
      <w:pPr>
        <w:pStyle w:val="BodyText"/>
      </w:pPr>
      <w:r>
        <w:t xml:space="preserve">Richardson, J. P., et al. (2018). Processing of Candida albicans Ece1p is critical for </w:t>
      </w:r>
      <w:proofErr w:type="spellStart"/>
      <w:r>
        <w:t>candidalysin</w:t>
      </w:r>
      <w:proofErr w:type="spellEnd"/>
      <w:r>
        <w:t xml:space="preserve"> maturation and fungal virulence. mBio, 9(1), Article e02178-17. </w:t>
      </w:r>
      <w:hyperlink r:id="rId112" w:history="1">
        <w:r w:rsidR="00C11D26" w:rsidRPr="001263DC">
          <w:rPr>
            <w:rStyle w:val="Hyperlink"/>
          </w:rPr>
          <w:t>https://doi.org/10.1128/mBio.02178-17</w:t>
        </w:r>
      </w:hyperlink>
    </w:p>
    <w:p w14:paraId="6420D924" w14:textId="0E9260BF" w:rsidR="00C11D26" w:rsidRDefault="004E4628" w:rsidP="004E4628">
      <w:pPr>
        <w:pStyle w:val="BodyText"/>
      </w:pPr>
      <w:r>
        <w:t xml:space="preserve">Robinson, J. D., Hall, E. S., &amp; Dunham, P. B. (1977). Reversal of the Na-K pump and apparent affinity for intracellular potassium. Nature, 269, 165–167. </w:t>
      </w:r>
      <w:hyperlink r:id="rId113" w:history="1">
        <w:r w:rsidR="00C11D26" w:rsidRPr="001263DC">
          <w:rPr>
            <w:rStyle w:val="Hyperlink"/>
          </w:rPr>
          <w:t>h</w:t>
        </w:r>
        <w:r w:rsidR="00C11D26" w:rsidRPr="001263DC">
          <w:rPr>
            <w:rStyle w:val="Hyperlink"/>
          </w:rPr>
          <w:t>ttps://doi.org/10.1038/269165a0</w:t>
        </w:r>
      </w:hyperlink>
    </w:p>
    <w:p w14:paraId="529E2EEB" w14:textId="795244A8" w:rsidR="004E4628" w:rsidRDefault="004E4628" w:rsidP="004E4628">
      <w:pPr>
        <w:pStyle w:val="BodyText"/>
      </w:pPr>
      <w:r>
        <w:t xml:space="preserve">Rodaki, A., </w:t>
      </w:r>
      <w:proofErr w:type="spellStart"/>
      <w:r>
        <w:t>Bohovych</w:t>
      </w:r>
      <w:proofErr w:type="spellEnd"/>
      <w:r>
        <w:t>, I. M., Enjalbert, B., Young, T., Odds, F. C., Gow, N. A. R., &amp; Brown, A. J. P. (2009). Glucose promotes stress resistance in the fungal pathogen Candida albicans. Molecular Biology of the Cell, 20(22), 4845–4855.</w:t>
      </w:r>
    </w:p>
    <w:p w14:paraId="11BF07C4" w14:textId="1801F6C6" w:rsidR="00C11D26" w:rsidRDefault="004E4628" w:rsidP="004E4628">
      <w:pPr>
        <w:pStyle w:val="BodyText"/>
      </w:pPr>
      <w:r>
        <w:lastRenderedPageBreak/>
        <w:t xml:space="preserve">Rodriguez, R. J., &amp; Redman, R. S. (2008). More than 400 million years of evolution and some plants still can't make it on their own: Plant stress tolerance via fungal symbiosis. Journal of Experimental Botany, 59(5), 1109–1114. </w:t>
      </w:r>
      <w:hyperlink r:id="rId114" w:history="1">
        <w:r w:rsidR="00C11D26" w:rsidRPr="001263DC">
          <w:rPr>
            <w:rStyle w:val="Hyperlink"/>
          </w:rPr>
          <w:t>https://doi.org/10.1093/jxb/erm342</w:t>
        </w:r>
      </w:hyperlink>
    </w:p>
    <w:p w14:paraId="2511306C" w14:textId="695A4408" w:rsidR="002B32C9" w:rsidRDefault="002B32C9" w:rsidP="002B32C9">
      <w:pPr>
        <w:pStyle w:val="BodyText"/>
      </w:pPr>
      <w:r w:rsidRPr="002B32C9">
        <w:t>Rogers, A. R., Islam, M. T., Brand, C. M., &amp; Webster, T. H. (2026). Human ancestors interbred with two distinct populations of distant relatives. bioRxiv.</w:t>
      </w:r>
      <w:r>
        <w:t xml:space="preserve"> </w:t>
      </w:r>
      <w:hyperlink r:id="rId115" w:history="1">
        <w:r w:rsidRPr="001263DC">
          <w:rPr>
            <w:rStyle w:val="Hyperlink"/>
          </w:rPr>
          <w:t>h</w:t>
        </w:r>
        <w:r w:rsidRPr="002B32C9">
          <w:rPr>
            <w:rStyle w:val="Hyperlink"/>
          </w:rPr>
          <w:t>ttps://doi.org/10.64898/2026.03.22.713509</w:t>
        </w:r>
      </w:hyperlink>
    </w:p>
    <w:p w14:paraId="522CE3FC" w14:textId="63E63653" w:rsidR="004E4628" w:rsidRDefault="004E4628" w:rsidP="004E4628">
      <w:pPr>
        <w:pStyle w:val="BodyText"/>
      </w:pPr>
      <w:r>
        <w:t>Romo, J. A., &amp; Kumamoto, C. A. (2020). On commensalism of Candida. Journal of Fungi, 6(1), Article 16.</w:t>
      </w:r>
    </w:p>
    <w:p w14:paraId="09A41D79" w14:textId="77777777" w:rsidR="004E4628" w:rsidRDefault="004E4628" w:rsidP="004E4628">
      <w:pPr>
        <w:pStyle w:val="BodyText"/>
      </w:pPr>
      <w:r>
        <w:t>Roullet, J. B., et al. (1999). Farnesol inhibits L-type Ca²⁺ channels in vascular smooth muscle cells. Journal of Biological Chemistry, 274(36), 25439–25446.</w:t>
      </w:r>
    </w:p>
    <w:p w14:paraId="651ED1EB" w14:textId="77777777" w:rsidR="004E4628" w:rsidRDefault="004E4628" w:rsidP="004E4628">
      <w:pPr>
        <w:pStyle w:val="BodyText"/>
      </w:pPr>
      <w:r>
        <w:t>Rudenko, S. I. (1970). Frozen tombs of Siberia: The Pazyryk burials of Iron Age horsemen. University of California Press.</w:t>
      </w:r>
    </w:p>
    <w:p w14:paraId="3428FA37" w14:textId="68011B1D" w:rsidR="00C11D26" w:rsidRDefault="004E4628" w:rsidP="004E4628">
      <w:pPr>
        <w:pStyle w:val="BodyText"/>
      </w:pPr>
      <w:r>
        <w:t xml:space="preserve">Rudolph, A. M. (2009). Congenital Diseases of the Heart: Clinical-Physiological Considerations (3rd ed.). Wiley-Blackwell. </w:t>
      </w:r>
      <w:hyperlink r:id="rId116" w:history="1">
        <w:r w:rsidR="00C11D26" w:rsidRPr="001263DC">
          <w:rPr>
            <w:rStyle w:val="Hyperlink"/>
          </w:rPr>
          <w:t>https://doi.org/10.1002/9781444311822</w:t>
        </w:r>
      </w:hyperlink>
    </w:p>
    <w:p w14:paraId="423B225C" w14:textId="4ABF9E4E" w:rsidR="00C11D26" w:rsidRDefault="004E4628" w:rsidP="004E4628">
      <w:pPr>
        <w:pStyle w:val="BodyText"/>
      </w:pPr>
      <w:r>
        <w:t xml:space="preserve">Russell, C. M., et al. (2022). The Candida albicans virulence factor </w:t>
      </w:r>
      <w:proofErr w:type="spellStart"/>
      <w:r>
        <w:t>candidalysin</w:t>
      </w:r>
      <w:proofErr w:type="spellEnd"/>
      <w:r>
        <w:t xml:space="preserve"> polymerizes in solution to form membrane pores and damage epithelial cells. </w:t>
      </w:r>
      <w:proofErr w:type="spellStart"/>
      <w:r>
        <w:t>eLife</w:t>
      </w:r>
      <w:proofErr w:type="spellEnd"/>
      <w:r>
        <w:t xml:space="preserve">, 11, Article e75490. </w:t>
      </w:r>
      <w:hyperlink r:id="rId117" w:history="1">
        <w:r w:rsidR="00C11D26" w:rsidRPr="001263DC">
          <w:rPr>
            <w:rStyle w:val="Hyperlink"/>
          </w:rPr>
          <w:t>https://doi.org/10.7554/eLife.75490</w:t>
        </w:r>
      </w:hyperlink>
    </w:p>
    <w:p w14:paraId="396C8758" w14:textId="75F13996" w:rsidR="00C11D26" w:rsidRDefault="004E4628" w:rsidP="004E4628">
      <w:pPr>
        <w:pStyle w:val="BodyText"/>
      </w:pPr>
      <w:r>
        <w:t xml:space="preserve">Russo, E. B., Jiang, H. E., Li, X., et al. (2008). Phytochemical and genetic analyses of ancient cannabis from Central Asia. Journal of Experimental Botany, 59(15), 4171–4182. </w:t>
      </w:r>
      <w:hyperlink r:id="rId118" w:history="1">
        <w:r w:rsidR="00C11D26" w:rsidRPr="001263DC">
          <w:rPr>
            <w:rStyle w:val="Hyperlink"/>
          </w:rPr>
          <w:t>https://doi.org/10.1093/jxb/ern260</w:t>
        </w:r>
      </w:hyperlink>
    </w:p>
    <w:p w14:paraId="05FB41DA" w14:textId="013DC2F3" w:rsidR="004E4628" w:rsidRDefault="004E4628" w:rsidP="004E4628">
      <w:pPr>
        <w:pStyle w:val="BodyText"/>
      </w:pPr>
      <w:r>
        <w:t>Sabina, J., &amp; Brown, V. (2009). Glucose sensing network in Candida albicans: A sweet spot for fungal morphogenesis. Eukaryotic Cell, 8(9), 1314–1320.</w:t>
      </w:r>
    </w:p>
    <w:p w14:paraId="5DA584D8" w14:textId="2A1AC1FD" w:rsidR="00C11D26" w:rsidRDefault="004E4628" w:rsidP="004E4628">
      <w:pPr>
        <w:pStyle w:val="BodyText"/>
      </w:pPr>
      <w:r>
        <w:t xml:space="preserve">Sagar, L. S. R., et al. (2017). Epigenetic determinants of phenotypic plasticity in Candida albicans. Fungal Biology Reviews, 32(1), 10–19. </w:t>
      </w:r>
      <w:hyperlink r:id="rId119" w:history="1">
        <w:r w:rsidR="00C11D26" w:rsidRPr="001263DC">
          <w:rPr>
            <w:rStyle w:val="Hyperlink"/>
          </w:rPr>
          <w:t>https://doi.org/10.1016/j.fbr.2017.07.002</w:t>
        </w:r>
      </w:hyperlink>
    </w:p>
    <w:p w14:paraId="34961964" w14:textId="13FCA07D" w:rsidR="004E4628" w:rsidRDefault="004E4628" w:rsidP="004E4628">
      <w:pPr>
        <w:pStyle w:val="BodyText"/>
      </w:pPr>
      <w:r>
        <w:t xml:space="preserve">Sam, A. H., Salem, V., &amp; </w:t>
      </w:r>
      <w:proofErr w:type="spellStart"/>
      <w:r>
        <w:t>Ghatei</w:t>
      </w:r>
      <w:proofErr w:type="spellEnd"/>
      <w:r>
        <w:t>, M. A. (2011). Rimonabant: From RIO to ban. Journal of Obesity, 2011, Article 432607.</w:t>
      </w:r>
    </w:p>
    <w:p w14:paraId="5365CEC8" w14:textId="77777777" w:rsidR="004E4628" w:rsidRDefault="004E4628" w:rsidP="004E4628">
      <w:pPr>
        <w:pStyle w:val="BodyText"/>
      </w:pPr>
      <w:r>
        <w:t>Schaller, M., et al. (1999). Invasion of Candida albicans correlates with expression of secreted aspartic proteinases during experimental infection of human epidermis. Journal of Investigative Dermatology, 114(4), 712–717.</w:t>
      </w:r>
    </w:p>
    <w:p w14:paraId="2A8E656E" w14:textId="77777777" w:rsidR="004E4628" w:rsidRDefault="004E4628" w:rsidP="004E4628">
      <w:pPr>
        <w:pStyle w:val="BodyText"/>
      </w:pPr>
      <w:r>
        <w:t>Schlicker, E., &amp; Kathmann, M. (2001). Modulation of transmitter release via presynaptic cannabinoid receptors. Trends in Pharmacological Sciences, 22(11), 565–572.</w:t>
      </w:r>
    </w:p>
    <w:p w14:paraId="34C9F867" w14:textId="77777777" w:rsidR="004E4628" w:rsidRDefault="004E4628" w:rsidP="004E4628">
      <w:pPr>
        <w:pStyle w:val="BodyText"/>
      </w:pPr>
      <w:r>
        <w:t xml:space="preserve">Scholz, C. A., et al. (2007). East African megadroughts between 135 and 75 thousand years ago and bearing on </w:t>
      </w:r>
      <w:proofErr w:type="gramStart"/>
      <w:r>
        <w:t>early-modern</w:t>
      </w:r>
      <w:proofErr w:type="gramEnd"/>
      <w:r>
        <w:t xml:space="preserve"> human origins. Proceedings of the National Academy of Sciences, 104(42), 16416–16421.</w:t>
      </w:r>
    </w:p>
    <w:p w14:paraId="10A6015F" w14:textId="099D7283" w:rsidR="00C11D26" w:rsidRDefault="004E4628" w:rsidP="004E4628">
      <w:pPr>
        <w:pStyle w:val="BodyText"/>
      </w:pPr>
      <w:proofErr w:type="spellStart"/>
      <w:r>
        <w:t>Schrevens</w:t>
      </w:r>
      <w:proofErr w:type="spellEnd"/>
      <w:r>
        <w:t xml:space="preserve">, S., Van </w:t>
      </w:r>
      <w:proofErr w:type="spellStart"/>
      <w:r>
        <w:t>Zeebroeck</w:t>
      </w:r>
      <w:proofErr w:type="spellEnd"/>
      <w:r>
        <w:t xml:space="preserve">, G., Riedelberger, M., </w:t>
      </w:r>
      <w:proofErr w:type="spellStart"/>
      <w:r>
        <w:t>Tournu</w:t>
      </w:r>
      <w:proofErr w:type="spellEnd"/>
      <w:r>
        <w:t xml:space="preserve">, H., Kuchler, K., &amp; Van Dijck, P. (2018). Methionine is required for cAMP-PKA-mediated morphogenesis and virulence </w:t>
      </w:r>
      <w:r>
        <w:lastRenderedPageBreak/>
        <w:t xml:space="preserve">of Candida albicans. Molecular Microbiology, 108(3), 258–275. </w:t>
      </w:r>
      <w:hyperlink r:id="rId120" w:history="1">
        <w:r w:rsidR="00C11D26" w:rsidRPr="001263DC">
          <w:rPr>
            <w:rStyle w:val="Hyperlink"/>
          </w:rPr>
          <w:t>https://doi.org/10.1111/mmi.13933</w:t>
        </w:r>
      </w:hyperlink>
    </w:p>
    <w:p w14:paraId="20B579A7" w14:textId="1C374D87" w:rsidR="00C11D26" w:rsidRDefault="004E4628" w:rsidP="004E4628">
      <w:pPr>
        <w:pStyle w:val="BodyText"/>
      </w:pPr>
      <w:r>
        <w:t xml:space="preserve">Schrott, R., Murphy, S. K., </w:t>
      </w:r>
      <w:proofErr w:type="spellStart"/>
      <w:r>
        <w:t>Modliszewski</w:t>
      </w:r>
      <w:proofErr w:type="spellEnd"/>
      <w:r>
        <w:t xml:space="preserve">, J. L., et al. (2020). Reframing cannabis as a negative epigenetic modulator: DNA methylation patterns at the DLGAP2 locus in sperm of men with cannabis exposure. Scientific Reports, 10, Article 9951. </w:t>
      </w:r>
      <w:hyperlink r:id="rId121" w:history="1">
        <w:r w:rsidR="00C11D26" w:rsidRPr="001263DC">
          <w:rPr>
            <w:rStyle w:val="Hyperlink"/>
          </w:rPr>
          <w:t>https://doi.org/10.1038/s41598-020-67015-w</w:t>
        </w:r>
      </w:hyperlink>
    </w:p>
    <w:p w14:paraId="4DECB5A3" w14:textId="52C9BF1C" w:rsidR="00C11D26" w:rsidRDefault="004E4628" w:rsidP="004E4628">
      <w:pPr>
        <w:pStyle w:val="BodyText"/>
      </w:pPr>
      <w:r>
        <w:t xml:space="preserve">Schwarz, W., et al. (1991). Conditions for a backward-running Na⁺/K⁺ pump in Xenopus oocytes. </w:t>
      </w:r>
      <w:proofErr w:type="spellStart"/>
      <w:r>
        <w:t>Biochimica</w:t>
      </w:r>
      <w:proofErr w:type="spellEnd"/>
      <w:r>
        <w:t xml:space="preserve"> et </w:t>
      </w:r>
      <w:proofErr w:type="spellStart"/>
      <w:r>
        <w:t>Biophysica</w:t>
      </w:r>
      <w:proofErr w:type="spellEnd"/>
      <w:r>
        <w:t xml:space="preserve"> Acta. </w:t>
      </w:r>
      <w:hyperlink r:id="rId122" w:history="1">
        <w:r w:rsidR="00C11D26" w:rsidRPr="001263DC">
          <w:rPr>
            <w:rStyle w:val="Hyperlink"/>
          </w:rPr>
          <w:t>https://doi.org/10.1016/0005-2736(91)90062-D</w:t>
        </w:r>
      </w:hyperlink>
    </w:p>
    <w:p w14:paraId="0E31F9E9" w14:textId="72D419BF" w:rsidR="004E4628" w:rsidRDefault="004E4628" w:rsidP="004E4628">
      <w:pPr>
        <w:pStyle w:val="BodyText"/>
      </w:pPr>
      <w:r>
        <w:t xml:space="preserve">Sellam, A., van Het Hoog, M., </w:t>
      </w:r>
      <w:proofErr w:type="spellStart"/>
      <w:r>
        <w:t>Tebbji</w:t>
      </w:r>
      <w:proofErr w:type="spellEnd"/>
      <w:r>
        <w:t xml:space="preserve">, F., </w:t>
      </w:r>
      <w:proofErr w:type="spellStart"/>
      <w:r>
        <w:t>Beaurepaire</w:t>
      </w:r>
      <w:proofErr w:type="spellEnd"/>
      <w:r>
        <w:t xml:space="preserve">, C., Nietzsche, S., Németh, T., et al. (2014). Modeling the transcriptional regulatory network that controls the early hypoxic response in Candida albicans. Eukaryotic Cell, 13(5), 675–690. </w:t>
      </w:r>
      <w:hyperlink r:id="rId123" w:history="1">
        <w:r w:rsidR="00C11D26" w:rsidRPr="001263DC">
          <w:rPr>
            <w:rStyle w:val="Hyperlink"/>
          </w:rPr>
          <w:t>https://doi.org/10.1128/EC.00292-13</w:t>
        </w:r>
      </w:hyperlink>
    </w:p>
    <w:p w14:paraId="2E4D1359" w14:textId="77777777" w:rsidR="004E4628" w:rsidRDefault="004E4628" w:rsidP="004E4628">
      <w:pPr>
        <w:pStyle w:val="BodyText"/>
      </w:pPr>
      <w:proofErr w:type="spellStart"/>
      <w:r>
        <w:t>Semighini</w:t>
      </w:r>
      <w:proofErr w:type="spellEnd"/>
      <w:r>
        <w:t xml:space="preserve">, C. P., et al. (2006). Farnesol-induced apoptosis in Aspergillus </w:t>
      </w:r>
      <w:proofErr w:type="spellStart"/>
      <w:r>
        <w:t>nidulans</w:t>
      </w:r>
      <w:proofErr w:type="spellEnd"/>
      <w:r>
        <w:t xml:space="preserve"> reveals a possible mechanism for antagonistic interactions between fungi. Molecular Microbiology, 59(3), 753–764.</w:t>
      </w:r>
    </w:p>
    <w:p w14:paraId="3A0F223F" w14:textId="08C58406" w:rsidR="00C11D26" w:rsidRDefault="004E4628" w:rsidP="004E4628">
      <w:pPr>
        <w:pStyle w:val="BodyText"/>
      </w:pPr>
      <w:r>
        <w:t xml:space="preserve">Setiadi, E. R., </w:t>
      </w:r>
      <w:proofErr w:type="spellStart"/>
      <w:r>
        <w:t>Doedt</w:t>
      </w:r>
      <w:proofErr w:type="spellEnd"/>
      <w:r>
        <w:t xml:space="preserve">, T., Cottier, F., Noffz, C., &amp; Ernst, J. F. (2006). Transcriptional response of Candida albicans to hypoxia: Linkage of oxygen sensing and Efg1p-regulatory networks. Journal of Molecular Biology, 361(3), 399–411. </w:t>
      </w:r>
      <w:hyperlink r:id="rId124" w:history="1">
        <w:r w:rsidR="00C11D26" w:rsidRPr="001263DC">
          <w:rPr>
            <w:rStyle w:val="Hyperlink"/>
          </w:rPr>
          <w:t>https://doi.org/10.1016/j.jmb.2006.06.040</w:t>
        </w:r>
      </w:hyperlink>
    </w:p>
    <w:p w14:paraId="5F34EA1D" w14:textId="6D92F6B3" w:rsidR="004E4628" w:rsidRDefault="004E4628" w:rsidP="004E4628">
      <w:pPr>
        <w:pStyle w:val="BodyText"/>
      </w:pPr>
      <w:r>
        <w:t>Shapiro, R. S., et al. (2009). Hsp90 orchestrates temperature-dependent Candida albicans morphogenesis via Ras1-PKA signaling. Current Biology, 19(8), 621–629.</w:t>
      </w:r>
    </w:p>
    <w:p w14:paraId="653C56BC" w14:textId="77777777" w:rsidR="004E4628" w:rsidRDefault="004E4628" w:rsidP="004E4628">
      <w:pPr>
        <w:pStyle w:val="BodyText"/>
      </w:pPr>
      <w:r>
        <w:t>Shao, T. Y., et al. (2019). Commensal Candida albicans positively calibrates systemic Th17 immunological responses. Cell Host &amp; Microbe, 25, 404–417.</w:t>
      </w:r>
    </w:p>
    <w:p w14:paraId="4483A450" w14:textId="77777777" w:rsidR="004E4628" w:rsidRDefault="004E4628" w:rsidP="004E4628">
      <w:pPr>
        <w:pStyle w:val="BodyText"/>
      </w:pPr>
      <w:r>
        <w:t>Shchepin, R., et al. (2003). Quorum sensing in Candida albicans: Probing farnesol's mode of action with 40 natural and synthetic farnesol analogs. Chemistry &amp; Biology, 10(8), 743–750.</w:t>
      </w:r>
    </w:p>
    <w:p w14:paraId="50A55786" w14:textId="318A862E" w:rsidR="00C11D26" w:rsidRDefault="004E4628" w:rsidP="004E4628">
      <w:pPr>
        <w:pStyle w:val="BodyText"/>
      </w:pPr>
      <w:proofErr w:type="spellStart"/>
      <w:r>
        <w:t>Shivarathri</w:t>
      </w:r>
      <w:proofErr w:type="spellEnd"/>
      <w:r>
        <w:t xml:space="preserve">, R., et al. (2019). The Candida albicans biofilm gene circuit modulated at the chromatin level by a recent molecular histone innovation. </w:t>
      </w:r>
      <w:proofErr w:type="spellStart"/>
      <w:r>
        <w:t>PLoS</w:t>
      </w:r>
      <w:proofErr w:type="spellEnd"/>
      <w:r>
        <w:t xml:space="preserve"> Biology, 17(8), Article e3000422. </w:t>
      </w:r>
      <w:hyperlink r:id="rId125" w:history="1">
        <w:r w:rsidR="00C11D26" w:rsidRPr="001263DC">
          <w:rPr>
            <w:rStyle w:val="Hyperlink"/>
          </w:rPr>
          <w:t>https://doi.org/10.1371/journal.pbio.3000422</w:t>
        </w:r>
      </w:hyperlink>
    </w:p>
    <w:p w14:paraId="2F487C71" w14:textId="2CD3B3CC" w:rsidR="00C11D26" w:rsidRDefault="004E4628" w:rsidP="004E4628">
      <w:pPr>
        <w:pStyle w:val="BodyText"/>
      </w:pPr>
      <w:r>
        <w:t xml:space="preserve">Shultz, S., &amp; Maslin, M. A. (2013). Early human speciation, brain expansion and dispersal influenced by African climate pulses. </w:t>
      </w:r>
      <w:proofErr w:type="spellStart"/>
      <w:r>
        <w:t>PLoS</w:t>
      </w:r>
      <w:proofErr w:type="spellEnd"/>
      <w:r>
        <w:t xml:space="preserve"> ONE, 8(10), Article e76750. </w:t>
      </w:r>
      <w:hyperlink r:id="rId126" w:history="1">
        <w:r w:rsidR="00C11D26" w:rsidRPr="001263DC">
          <w:rPr>
            <w:rStyle w:val="Hyperlink"/>
          </w:rPr>
          <w:t>https://doi.org/10.1371/journal.pone.0076750</w:t>
        </w:r>
      </w:hyperlink>
    </w:p>
    <w:p w14:paraId="0CEBF421" w14:textId="2323CBA7" w:rsidR="00C11D26" w:rsidRDefault="004E4628" w:rsidP="004E4628">
      <w:pPr>
        <w:pStyle w:val="BodyText"/>
      </w:pPr>
      <w:r>
        <w:t xml:space="preserve">Sterkel, A. K., et al. (2016). Fungal mimicry of a mammalian aminopeptidase disables innate immunity and promotes pathogenicity. Cell Host &amp; Microbe, 19(3), 361–374. </w:t>
      </w:r>
      <w:hyperlink r:id="rId127" w:history="1">
        <w:r w:rsidR="00C11D26" w:rsidRPr="001263DC">
          <w:rPr>
            <w:rStyle w:val="Hyperlink"/>
          </w:rPr>
          <w:t>https://doi.org/10.1016/j.chom.2016.02.001</w:t>
        </w:r>
      </w:hyperlink>
    </w:p>
    <w:p w14:paraId="32C19121" w14:textId="2EC9C088" w:rsidR="00C11D26" w:rsidRDefault="004E4628" w:rsidP="004E4628">
      <w:pPr>
        <w:pStyle w:val="BodyText"/>
      </w:pPr>
      <w:r>
        <w:t xml:space="preserve">Strydom, A., et al. (2010). Effect of inhibitors of arachidonic acid metabolism on prostaglandin E₂ production by Candida albicans and Candida </w:t>
      </w:r>
      <w:proofErr w:type="spellStart"/>
      <w:r>
        <w:t>dubliniensis</w:t>
      </w:r>
      <w:proofErr w:type="spellEnd"/>
      <w:r>
        <w:t xml:space="preserve"> biofilms. Medical Microbiology and Immunology, 200(1), 23–28. </w:t>
      </w:r>
      <w:hyperlink r:id="rId128" w:history="1">
        <w:r w:rsidR="00C11D26" w:rsidRPr="001263DC">
          <w:rPr>
            <w:rStyle w:val="Hyperlink"/>
          </w:rPr>
          <w:t>https://doi.org/10.1007/s00430-010-0169-7</w:t>
        </w:r>
      </w:hyperlink>
    </w:p>
    <w:p w14:paraId="66DA4AFB" w14:textId="3970AD9F" w:rsidR="004E4628" w:rsidRDefault="004E4628" w:rsidP="004E4628">
      <w:pPr>
        <w:pStyle w:val="BodyText"/>
      </w:pPr>
      <w:r>
        <w:lastRenderedPageBreak/>
        <w:t>Sugiura, T., &amp; Waku, K. (2002). Biosynthesis and degradation of anandamide and 2-arachidonoylglycerol and their possible physiological significance. Prostaglandins, Leukotrienes and Essential Fatty Acids, 66(2–3), 173–192.</w:t>
      </w:r>
    </w:p>
    <w:p w14:paraId="2D68D8A3" w14:textId="2B60973D" w:rsidR="00C11D26" w:rsidRDefault="004E4628" w:rsidP="004E4628">
      <w:pPr>
        <w:pStyle w:val="BodyText"/>
      </w:pPr>
      <w:r>
        <w:t xml:space="preserve">Sullivan, D. J., Moran, G. P., &amp; Coleman, D. C. (2005). Candida </w:t>
      </w:r>
      <w:proofErr w:type="spellStart"/>
      <w:r>
        <w:t>dubliniensis</w:t>
      </w:r>
      <w:proofErr w:type="spellEnd"/>
      <w:r>
        <w:t xml:space="preserve">: Ten years on. FEMS Microbiology Letters, 253(1), 9–17. </w:t>
      </w:r>
      <w:hyperlink r:id="rId129" w:history="1">
        <w:r w:rsidR="00C11D26" w:rsidRPr="001263DC">
          <w:rPr>
            <w:rStyle w:val="Hyperlink"/>
          </w:rPr>
          <w:t>https://doi.org/10.1016/j.femsle.2005.09.015</w:t>
        </w:r>
      </w:hyperlink>
    </w:p>
    <w:p w14:paraId="11FF310F" w14:textId="3CB2AB77" w:rsidR="00C11D26" w:rsidRDefault="004E4628" w:rsidP="004E4628">
      <w:pPr>
        <w:pStyle w:val="BodyText"/>
      </w:pPr>
      <w:r>
        <w:t xml:space="preserve">Synnott, J. M., Guida, A., Mulhern-Haughey, S., Higgins, D. G., &amp; Butler, G. (2010). Regulation of the hypoxic response in Candida albicans. Eukaryotic Cell, 9(11), 1734–1746. </w:t>
      </w:r>
      <w:hyperlink r:id="rId130" w:history="1">
        <w:r w:rsidR="00C11D26" w:rsidRPr="001263DC">
          <w:rPr>
            <w:rStyle w:val="Hyperlink"/>
          </w:rPr>
          <w:t>https://doi.org/10.1128/EC.00159-10</w:t>
        </w:r>
      </w:hyperlink>
    </w:p>
    <w:p w14:paraId="1229BDFD" w14:textId="7D9D2E1E" w:rsidR="00C11D26" w:rsidRDefault="004E4628" w:rsidP="004E4628">
      <w:pPr>
        <w:pStyle w:val="BodyText"/>
      </w:pPr>
      <w:r>
        <w:t xml:space="preserve">Szutorisz, H., &amp; Hurd, Y. L. (2016). Epigenetic effects of cannabis exposure. Biological Psychiatry, 79(7), 586–594. </w:t>
      </w:r>
      <w:hyperlink r:id="rId131" w:history="1">
        <w:r w:rsidR="00C11D26" w:rsidRPr="001263DC">
          <w:rPr>
            <w:rStyle w:val="Hyperlink"/>
          </w:rPr>
          <w:t>https://doi.org/10.1016/j.biopsych.2015.09.014</w:t>
        </w:r>
      </w:hyperlink>
    </w:p>
    <w:p w14:paraId="03262AC7" w14:textId="67A3CE2F" w:rsidR="00C11D26" w:rsidRDefault="004E4628" w:rsidP="004E4628">
      <w:pPr>
        <w:pStyle w:val="BodyText"/>
      </w:pPr>
      <w:proofErr w:type="spellStart"/>
      <w:r>
        <w:t>Tagkopoulos</w:t>
      </w:r>
      <w:proofErr w:type="spellEnd"/>
      <w:r>
        <w:t xml:space="preserve">, I., Liu, Y. C., &amp; </w:t>
      </w:r>
      <w:proofErr w:type="spellStart"/>
      <w:r>
        <w:t>Tavazoie</w:t>
      </w:r>
      <w:proofErr w:type="spellEnd"/>
      <w:r>
        <w:t xml:space="preserve">, S. (2008). Predictive behavior within microbial genetic networks. Science, 320(5881), 1313–1317. </w:t>
      </w:r>
      <w:hyperlink r:id="rId132" w:history="1">
        <w:r w:rsidR="00C11D26" w:rsidRPr="001263DC">
          <w:rPr>
            <w:rStyle w:val="Hyperlink"/>
          </w:rPr>
          <w:t>https://doi.org/10.1126/science.1154456</w:t>
        </w:r>
      </w:hyperlink>
    </w:p>
    <w:p w14:paraId="571C0A3A" w14:textId="55152A76" w:rsidR="00C11D26" w:rsidRDefault="004E4628" w:rsidP="004E4628">
      <w:pPr>
        <w:pStyle w:val="BodyText"/>
      </w:pPr>
      <w:r>
        <w:t xml:space="preserve">Thompson, D. S., et al. (2021). Lineage-specific selection and the evolution of virulence in the Candida clade. Proceedings of the National Academy of Sciences, 118(13), Article e2016818118. </w:t>
      </w:r>
      <w:hyperlink r:id="rId133" w:history="1">
        <w:r w:rsidR="00C11D26" w:rsidRPr="001263DC">
          <w:rPr>
            <w:rStyle w:val="Hyperlink"/>
          </w:rPr>
          <w:t>https://doi.org/10.1073/pnas.2016818118</w:t>
        </w:r>
      </w:hyperlink>
    </w:p>
    <w:p w14:paraId="04C8017F" w14:textId="19A21896" w:rsidR="00C23559" w:rsidRDefault="00C23559" w:rsidP="00C23559">
      <w:pPr>
        <w:pStyle w:val="BodyText"/>
      </w:pPr>
      <w:r w:rsidRPr="00C23559">
        <w:t xml:space="preserve">Trauth, M. H., et al. (2010). Human evolution in a variable environment: The amplifier lakes of Eastern Africa. Quaternary Science Reviews, 29(23–24), 2981–2988. </w:t>
      </w:r>
      <w:hyperlink r:id="rId134" w:history="1">
        <w:r w:rsidRPr="00C23559">
          <w:rPr>
            <w:rStyle w:val="Hyperlink"/>
          </w:rPr>
          <w:t>https://doi.org/10.1016/j.quascirev.2010.07.007</w:t>
        </w:r>
      </w:hyperlink>
    </w:p>
    <w:p w14:paraId="361AFC8A" w14:textId="470A4DE3" w:rsidR="00C23559" w:rsidRDefault="00C23559" w:rsidP="004E4628">
      <w:pPr>
        <w:pStyle w:val="BodyText"/>
      </w:pPr>
      <w:r w:rsidRPr="00C23559">
        <w:t xml:space="preserve">Trauth, M. H., Maslin, M. A., </w:t>
      </w:r>
      <w:proofErr w:type="spellStart"/>
      <w:r w:rsidRPr="00C23559">
        <w:t>Deino</w:t>
      </w:r>
      <w:proofErr w:type="spellEnd"/>
      <w:r w:rsidRPr="00C23559">
        <w:t xml:space="preserve">, A., &amp; Strecker, M. R. (2003). East African climate change and orbital forcing during the last 175 </w:t>
      </w:r>
      <w:proofErr w:type="spellStart"/>
      <w:r w:rsidRPr="00C23559">
        <w:t>kyr</w:t>
      </w:r>
      <w:proofErr w:type="spellEnd"/>
      <w:r w:rsidRPr="00C23559">
        <w:t xml:space="preserve"> BP. Earth and Planetary Science Letters, 206(3–4), 297–313. </w:t>
      </w:r>
      <w:hyperlink r:id="rId135" w:history="1">
        <w:r w:rsidRPr="001263DC">
          <w:rPr>
            <w:rStyle w:val="Hyperlink"/>
          </w:rPr>
          <w:t>https://doi.org/10.1016/S0012-821X(02)01105-6</w:t>
        </w:r>
      </w:hyperlink>
    </w:p>
    <w:p w14:paraId="6AAC0CD1" w14:textId="7DBC266C" w:rsidR="00C11D26" w:rsidRDefault="004E4628" w:rsidP="004E4628">
      <w:pPr>
        <w:pStyle w:val="BodyText"/>
      </w:pPr>
      <w:r>
        <w:t xml:space="preserve">Trauth, M. H., Maslin, M. A., </w:t>
      </w:r>
      <w:proofErr w:type="spellStart"/>
      <w:r>
        <w:t>Deino</w:t>
      </w:r>
      <w:proofErr w:type="spellEnd"/>
      <w:r>
        <w:t xml:space="preserve">, A., &amp; Strecker, M. R. (2005). Late Cenozoic moisture history of East Africa. Science, 309(5743), 2051–2053. </w:t>
      </w:r>
      <w:hyperlink r:id="rId136" w:history="1">
        <w:r w:rsidR="00C11D26" w:rsidRPr="001263DC">
          <w:rPr>
            <w:rStyle w:val="Hyperlink"/>
          </w:rPr>
          <w:t>https://doi.org/10.1126/science.1112964</w:t>
        </w:r>
      </w:hyperlink>
    </w:p>
    <w:p w14:paraId="6EBCB9AE" w14:textId="4551B57B" w:rsidR="004E4628" w:rsidRDefault="004E4628" w:rsidP="004E4628">
      <w:pPr>
        <w:pStyle w:val="BodyText"/>
      </w:pPr>
      <w:proofErr w:type="spellStart"/>
      <w:r>
        <w:t>Tucey</w:t>
      </w:r>
      <w:proofErr w:type="spellEnd"/>
      <w:r>
        <w:t>, T. M., Verma, J., Harrison, P. F., Snelgrove, S. L., Lo, T. L., Scherer, A. K., et al. (2018). Glucose homeostasis is important for immune cell viability during Candida challenge and host survival of systemic fungal infection. Cell Metabolism, 27(5), 988–1006.e7.</w:t>
      </w:r>
    </w:p>
    <w:p w14:paraId="0E95EDB7" w14:textId="77777777" w:rsidR="004E4628" w:rsidRDefault="004E4628" w:rsidP="004E4628">
      <w:pPr>
        <w:pStyle w:val="BodyText"/>
      </w:pPr>
      <w:r>
        <w:t>Turkana Basin Institute. (2021). All about Turkana Boy. turkanabasin.org.</w:t>
      </w:r>
    </w:p>
    <w:p w14:paraId="15564F34" w14:textId="5F6FD56B" w:rsidR="00C11D26" w:rsidRDefault="004E4628" w:rsidP="004E4628">
      <w:pPr>
        <w:pStyle w:val="BodyText"/>
      </w:pPr>
      <w:r>
        <w:t xml:space="preserve">Vylkova, S. (2017). Environmental pH modulation by pathogenic fungi </w:t>
      </w:r>
      <w:proofErr w:type="gramStart"/>
      <w:r>
        <w:t>as</w:t>
      </w:r>
      <w:proofErr w:type="gramEnd"/>
      <w:r>
        <w:t xml:space="preserve"> a strategy to conquer the host. </w:t>
      </w:r>
      <w:proofErr w:type="spellStart"/>
      <w:r>
        <w:t>PLoS</w:t>
      </w:r>
      <w:proofErr w:type="spellEnd"/>
      <w:r>
        <w:t xml:space="preserve"> Pathogens, 13(2), Article e1006149. </w:t>
      </w:r>
      <w:hyperlink r:id="rId137" w:history="1">
        <w:r w:rsidR="00C11D26" w:rsidRPr="001263DC">
          <w:rPr>
            <w:rStyle w:val="Hyperlink"/>
          </w:rPr>
          <w:t>https://doi.org/10.1371/journal.ppat.1006149</w:t>
        </w:r>
      </w:hyperlink>
    </w:p>
    <w:p w14:paraId="33D9715C" w14:textId="5A088EAC" w:rsidR="00C11D26" w:rsidRDefault="004E4628" w:rsidP="004E4628">
      <w:pPr>
        <w:pStyle w:val="BodyText"/>
      </w:pPr>
      <w:r>
        <w:t xml:space="preserve">Vylkova, S., &amp; Lorenz, M. C. (2014). Modulation of </w:t>
      </w:r>
      <w:proofErr w:type="spellStart"/>
      <w:r>
        <w:t>phagosomal</w:t>
      </w:r>
      <w:proofErr w:type="spellEnd"/>
      <w:r>
        <w:t xml:space="preserve"> pH by Candida albicans promotes hyphal morphogenesis and requires Stp2p, a regulator of amino acid transport. </w:t>
      </w:r>
      <w:proofErr w:type="spellStart"/>
      <w:r>
        <w:t>PLoS</w:t>
      </w:r>
      <w:proofErr w:type="spellEnd"/>
      <w:r>
        <w:t xml:space="preserve"> Pathogens, 10(3), Article e1003995. </w:t>
      </w:r>
      <w:hyperlink r:id="rId138" w:history="1">
        <w:r w:rsidR="00C11D26" w:rsidRPr="001263DC">
          <w:rPr>
            <w:rStyle w:val="Hyperlink"/>
          </w:rPr>
          <w:t>https://doi.org/10.1371/journal.ppat.1003995</w:t>
        </w:r>
      </w:hyperlink>
    </w:p>
    <w:p w14:paraId="78B1BEE1" w14:textId="633CF03E" w:rsidR="00C11D26" w:rsidRDefault="004E4628" w:rsidP="004E4628">
      <w:pPr>
        <w:pStyle w:val="BodyText"/>
      </w:pPr>
      <w:r>
        <w:t xml:space="preserve">Vylkova, S., Carman, A. J., Danhof, H. A., et al. (2011). The fungal pathogen Candida albicans </w:t>
      </w:r>
      <w:proofErr w:type="spellStart"/>
      <w:r>
        <w:t>autoinduces</w:t>
      </w:r>
      <w:proofErr w:type="spellEnd"/>
      <w:r>
        <w:t xml:space="preserve"> hyphal morphogenesis by raising extracellular </w:t>
      </w:r>
      <w:proofErr w:type="spellStart"/>
      <w:r>
        <w:t>pH.</w:t>
      </w:r>
      <w:proofErr w:type="spellEnd"/>
      <w:r>
        <w:t xml:space="preserve"> mBio, 2(3), Article e00055-11. </w:t>
      </w:r>
      <w:hyperlink r:id="rId139" w:history="1">
        <w:r w:rsidR="00C11D26" w:rsidRPr="001263DC">
          <w:rPr>
            <w:rStyle w:val="Hyperlink"/>
          </w:rPr>
          <w:t>https://doi.org/10.1128/mBio.00055-11</w:t>
        </w:r>
      </w:hyperlink>
    </w:p>
    <w:p w14:paraId="63F3B659" w14:textId="4F869292" w:rsidR="004E4628" w:rsidRDefault="004E4628" w:rsidP="004E4628">
      <w:pPr>
        <w:pStyle w:val="BodyText"/>
      </w:pPr>
      <w:r>
        <w:lastRenderedPageBreak/>
        <w:t xml:space="preserve">Walker, A., &amp; Leakey, R. (1993). The </w:t>
      </w:r>
      <w:proofErr w:type="spellStart"/>
      <w:r>
        <w:t>Nariokotome</w:t>
      </w:r>
      <w:proofErr w:type="spellEnd"/>
      <w:r>
        <w:t xml:space="preserve"> Homo erectus skeleton. Harvard University Press.</w:t>
      </w:r>
    </w:p>
    <w:p w14:paraId="648A1928" w14:textId="3D6D0282" w:rsidR="00C11D26" w:rsidRDefault="004E4628" w:rsidP="004E4628">
      <w:pPr>
        <w:pStyle w:val="BodyText"/>
      </w:pPr>
      <w:r>
        <w:t xml:space="preserve">Weiberg, A., Wang, M., Lin, F. M., et al. (2013). Fungal small RNAs suppress plant immunity by hijacking host RNA interference pathways. Science, 342(6154), 118–123. </w:t>
      </w:r>
      <w:hyperlink r:id="rId140" w:history="1">
        <w:r w:rsidR="00C11D26" w:rsidRPr="001263DC">
          <w:rPr>
            <w:rStyle w:val="Hyperlink"/>
          </w:rPr>
          <w:t>https://doi.org/10.1126/science.1239705</w:t>
        </w:r>
      </w:hyperlink>
    </w:p>
    <w:p w14:paraId="5FB5408B" w14:textId="77777777" w:rsidR="00556297" w:rsidRPr="00556297" w:rsidRDefault="00556297" w:rsidP="00556297">
      <w:pPr>
        <w:pStyle w:val="BodyText"/>
      </w:pPr>
      <w:r w:rsidRPr="00556297">
        <w:t>Weinberger, M. H., &amp; Fineberg, N. S. (1991). Sodium and volume sensitivity of blood pressure: Age and pressure change over time. Hypertension, 18(1), 67–71. https://doi.org/10.1161/01.hyp.18.1.67</w:t>
      </w:r>
    </w:p>
    <w:p w14:paraId="7869718A" w14:textId="45C2FDA9" w:rsidR="00C11D26" w:rsidRDefault="004E4628" w:rsidP="004E4628">
      <w:pPr>
        <w:pStyle w:val="BodyText"/>
      </w:pPr>
      <w:r>
        <w:t xml:space="preserve">Wernecke, B., et al. (2025). Fungal </w:t>
      </w:r>
      <w:proofErr w:type="spellStart"/>
      <w:r>
        <w:t>Argonaute</w:t>
      </w:r>
      <w:proofErr w:type="spellEnd"/>
      <w:r>
        <w:t xml:space="preserve"> proteins act in bidirectional cross-kingdom RNA interference during plant infection. Proceedings of the National Academy of Sciences, 122(17), Article e2422756122. </w:t>
      </w:r>
      <w:hyperlink r:id="rId141" w:history="1">
        <w:r w:rsidR="00C11D26" w:rsidRPr="001263DC">
          <w:rPr>
            <w:rStyle w:val="Hyperlink"/>
          </w:rPr>
          <w:t>https://doi.org/10.1073/pnas.2422756122</w:t>
        </w:r>
      </w:hyperlink>
    </w:p>
    <w:p w14:paraId="131839B6" w14:textId="3328D313" w:rsidR="004E4628" w:rsidRDefault="004E4628" w:rsidP="004E4628">
      <w:pPr>
        <w:pStyle w:val="BodyText"/>
      </w:pPr>
      <w:r>
        <w:t>WHO. (2022). WHO fungal priority pathogens list to guide research, development and public health action. World Health Organization. ISBN: 978-92-4-006024-1</w:t>
      </w:r>
      <w:r w:rsidR="00C11D26">
        <w:t xml:space="preserve">. </w:t>
      </w:r>
      <w:hyperlink r:id="rId142" w:history="1">
        <w:r w:rsidR="00C11D26" w:rsidRPr="001263DC">
          <w:rPr>
            <w:rStyle w:val="Hyperlink"/>
          </w:rPr>
          <w:t>https://www.who.int/publications/i/item/9789240060241</w:t>
        </w:r>
      </w:hyperlink>
    </w:p>
    <w:p w14:paraId="4FEF40EC" w14:textId="77777777" w:rsidR="004E4628" w:rsidRDefault="004E4628" w:rsidP="004E4628">
      <w:pPr>
        <w:pStyle w:val="BodyText"/>
      </w:pPr>
      <w:r>
        <w:t>Williams, R. J., Dickinson, K., Kinsman, O. S., Bramley, T. A., Menzies, G. S., &amp; Adams, D. J. (1990). Receptor-mediated elevation of adenylate cyclase by luteinizing hormone in Candida albicans. Journal of General Microbiology, 136, 2143–2148.</w:t>
      </w:r>
    </w:p>
    <w:p w14:paraId="41608E65" w14:textId="16296C0A" w:rsidR="00C11D26" w:rsidRDefault="004E4628" w:rsidP="004E4628">
      <w:pPr>
        <w:pStyle w:val="BodyText"/>
      </w:pPr>
      <w:r>
        <w:t xml:space="preserve">Wilson, K. E., Maslin, M. A., Leng, M. J., et al. (2014). East African lake evidence for Pliocene millennial-scale climate variability. Geology, 42(11), 955–958. </w:t>
      </w:r>
      <w:hyperlink r:id="rId143" w:history="1">
        <w:r w:rsidR="00C11D26" w:rsidRPr="001263DC">
          <w:rPr>
            <w:rStyle w:val="Hyperlink"/>
          </w:rPr>
          <w:t>https://doi.org/10.1130/G35915.1</w:t>
        </w:r>
      </w:hyperlink>
    </w:p>
    <w:p w14:paraId="701E4986" w14:textId="140CCCB7" w:rsidR="00C11D26" w:rsidRDefault="004E4628" w:rsidP="004E4628">
      <w:pPr>
        <w:pStyle w:val="BodyText"/>
      </w:pPr>
      <w:r>
        <w:t xml:space="preserve">Wurster, S., </w:t>
      </w:r>
      <w:proofErr w:type="spellStart"/>
      <w:r>
        <w:t>Lyos</w:t>
      </w:r>
      <w:proofErr w:type="spellEnd"/>
      <w:r>
        <w:t xml:space="preserve">, S., Albert, N. D., &amp; </w:t>
      </w:r>
      <w:proofErr w:type="spellStart"/>
      <w:r>
        <w:t>Kontoyiannis</w:t>
      </w:r>
      <w:proofErr w:type="spellEnd"/>
      <w:r>
        <w:t xml:space="preserve">, D. P. (2021). Pharmacological serum concentrations of epinephrine and norepinephrine do not affect growth rate, morphogenesis, stress tolerance, and virulence of Candida albicans. Medical Mycology, 59(1), 102–105. </w:t>
      </w:r>
      <w:hyperlink r:id="rId144" w:history="1">
        <w:r w:rsidR="00C11D26" w:rsidRPr="001263DC">
          <w:rPr>
            <w:rStyle w:val="Hyperlink"/>
          </w:rPr>
          <w:t>https://doi.org/10.1093/mmy/myaa060</w:t>
        </w:r>
      </w:hyperlink>
    </w:p>
    <w:p w14:paraId="193994B7" w14:textId="10A60525" w:rsidR="00C11D26" w:rsidRDefault="004E4628" w:rsidP="004E4628">
      <w:pPr>
        <w:pStyle w:val="BodyText"/>
      </w:pPr>
      <w:r>
        <w:t xml:space="preserve">Yu, Q., et al. (2014). Interaction among the vacuole, the mitochondria, and the oxidative stress response is governed by the transient receptor potential channel in Candida albicans. Free Radical Biology and Medicine, 77, 152–167. </w:t>
      </w:r>
      <w:hyperlink r:id="rId145" w:history="1">
        <w:r w:rsidR="00C11D26" w:rsidRPr="001263DC">
          <w:rPr>
            <w:rStyle w:val="Hyperlink"/>
          </w:rPr>
          <w:t>https://doi.org/10.1016/j.freeradbiomed.2014.09.011</w:t>
        </w:r>
      </w:hyperlink>
    </w:p>
    <w:p w14:paraId="3FA46DE8" w14:textId="362925D6" w:rsidR="003428BF" w:rsidRDefault="003428BF" w:rsidP="003428BF">
      <w:pPr>
        <w:pStyle w:val="BodyText"/>
      </w:pPr>
      <w:r w:rsidRPr="003428BF">
        <w:t xml:space="preserve">Zaman, L., Meyer, J. R., </w:t>
      </w:r>
      <w:proofErr w:type="spellStart"/>
      <w:r w:rsidRPr="003428BF">
        <w:t>Devangam</w:t>
      </w:r>
      <w:proofErr w:type="spellEnd"/>
      <w:r w:rsidRPr="003428BF">
        <w:t xml:space="preserve">, S., Bryson, D. M., Lenski, R. E., &amp; Ofria, C. (2014). Coevolution drives the emergence of complex traits and promotes evolvability. </w:t>
      </w:r>
      <w:proofErr w:type="spellStart"/>
      <w:r w:rsidRPr="003428BF">
        <w:t>PLoS</w:t>
      </w:r>
      <w:proofErr w:type="spellEnd"/>
      <w:r w:rsidRPr="003428BF">
        <w:t xml:space="preserve"> Biology, 12(12), e1002023. </w:t>
      </w:r>
      <w:hyperlink r:id="rId146" w:history="1">
        <w:r w:rsidRPr="003428BF">
          <w:rPr>
            <w:rStyle w:val="Hyperlink"/>
          </w:rPr>
          <w:t>https://doi.org/10.1371/journal.pbio.1002023</w:t>
        </w:r>
      </w:hyperlink>
    </w:p>
    <w:p w14:paraId="71CBEAC9" w14:textId="1AE1E559" w:rsidR="00C11D26" w:rsidRDefault="004E4628" w:rsidP="004E4628">
      <w:pPr>
        <w:pStyle w:val="BodyText"/>
      </w:pPr>
      <w:r>
        <w:t xml:space="preserve">Zarnowski, R., et al. (2018). Candida albicans </w:t>
      </w:r>
      <w:proofErr w:type="gramStart"/>
      <w:r>
        <w:t>biofilm</w:t>
      </w:r>
      <w:proofErr w:type="gramEnd"/>
      <w:r>
        <w:t xml:space="preserve">-induced vesicles confer drug resistance through matrix biogenesis. </w:t>
      </w:r>
      <w:proofErr w:type="spellStart"/>
      <w:r>
        <w:t>PLoS</w:t>
      </w:r>
      <w:proofErr w:type="spellEnd"/>
      <w:r>
        <w:t xml:space="preserve"> Biology, 16(10), Article e2006872. </w:t>
      </w:r>
      <w:hyperlink r:id="rId147" w:history="1">
        <w:r w:rsidR="00C11D26" w:rsidRPr="001263DC">
          <w:rPr>
            <w:rStyle w:val="Hyperlink"/>
          </w:rPr>
          <w:t>https://doi.org/10.1371/journal.pbio.2006872</w:t>
        </w:r>
      </w:hyperlink>
    </w:p>
    <w:p w14:paraId="037EF12A" w14:textId="7B1DAC7B" w:rsidR="00C11D26" w:rsidRDefault="004E4628" w:rsidP="004E4628">
      <w:pPr>
        <w:pStyle w:val="BodyText"/>
      </w:pPr>
      <w:r>
        <w:t xml:space="preserve">Zarnowski, R., et al. (2022). A common vesicle proteome drives fungal biofilm development. Proceedings of the National Academy of Sciences, 119(38), Article e2211424119. </w:t>
      </w:r>
      <w:hyperlink r:id="rId148" w:history="1">
        <w:r w:rsidR="00C11D26" w:rsidRPr="001263DC">
          <w:rPr>
            <w:rStyle w:val="Hyperlink"/>
          </w:rPr>
          <w:t>https://doi.org/10.1073/pnas.2211424119</w:t>
        </w:r>
      </w:hyperlink>
    </w:p>
    <w:p w14:paraId="3D6A27DD" w14:textId="3D8A7388" w:rsidR="004E4628" w:rsidRDefault="004E4628" w:rsidP="004E4628">
      <w:pPr>
        <w:pStyle w:val="BodyText"/>
      </w:pPr>
      <w:r>
        <w:lastRenderedPageBreak/>
        <w:t xml:space="preserve">Zarnowski, R., Noll, A., Chevrette, M. G., et al. (2021). Coordination of fungal biofilm development by extracellular vesicle cargo. Nature Communications, 12, Article 6235. </w:t>
      </w:r>
      <w:hyperlink r:id="rId149" w:history="1">
        <w:r w:rsidR="00C11D26" w:rsidRPr="001263DC">
          <w:rPr>
            <w:rStyle w:val="Hyperlink"/>
          </w:rPr>
          <w:t>https://doi.org/10.1038/s41467-021-26525-z</w:t>
        </w:r>
      </w:hyperlink>
    </w:p>
    <w:p w14:paraId="00236A89" w14:textId="5C7A04A1" w:rsidR="00C11D26" w:rsidRDefault="00C11D26" w:rsidP="00C11D26">
      <w:pPr>
        <w:pStyle w:val="BodyText"/>
      </w:pPr>
      <w:proofErr w:type="spellStart"/>
      <w:r w:rsidRPr="00C11D26">
        <w:t>Zelante</w:t>
      </w:r>
      <w:proofErr w:type="spellEnd"/>
      <w:r w:rsidRPr="00C11D26">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150" w:history="1">
        <w:r w:rsidRPr="00C11D26">
          <w:rPr>
            <w:rStyle w:val="Hyperlink"/>
          </w:rPr>
          <w:t>https://doi.org/10.1016/j.immuni.2013.08.003</w:t>
        </w:r>
      </w:hyperlink>
    </w:p>
    <w:p w14:paraId="1CFEB428" w14:textId="0C765A4E" w:rsidR="00C11D26" w:rsidRDefault="004E4628" w:rsidP="004E4628">
      <w:pPr>
        <w:pStyle w:val="BodyText"/>
      </w:pPr>
      <w:r>
        <w:t xml:space="preserve">Zhang, X., Essmann, M., Burt, E. T., &amp; Larsen, B. (2000). Estrogen effects on Candida albicans: A potential virulence-regulating mechanism. The Journal of Infectious Diseases, 181(4), 1441–1446. </w:t>
      </w:r>
      <w:hyperlink r:id="rId151" w:history="1">
        <w:r w:rsidR="00C11D26" w:rsidRPr="001263DC">
          <w:rPr>
            <w:rStyle w:val="Hyperlink"/>
          </w:rPr>
          <w:t>https://doi.org/10.1086/315406</w:t>
        </w:r>
      </w:hyperlink>
    </w:p>
    <w:p w14:paraId="5008B05F" w14:textId="4F58CC5C" w:rsidR="00C11D26" w:rsidRDefault="004E4628" w:rsidP="004E4628">
      <w:pPr>
        <w:pStyle w:val="BodyText"/>
      </w:pPr>
      <w:r>
        <w:t xml:space="preserve">Zhang, X., et al. (2022). Antimicrobial effect of extracellular vesicles derived from human oral mucosal epithelial cells on Candida albicans. Frontiers in Immunology, 13, Article 959962. </w:t>
      </w:r>
      <w:hyperlink r:id="rId152" w:history="1">
        <w:r w:rsidR="00C11D26" w:rsidRPr="001263DC">
          <w:rPr>
            <w:rStyle w:val="Hyperlink"/>
          </w:rPr>
          <w:t>https://doi.org/10.3389/fimmu.2022.959962</w:t>
        </w:r>
      </w:hyperlink>
    </w:p>
    <w:p w14:paraId="500A2416" w14:textId="132234D8" w:rsidR="00C11D26" w:rsidRDefault="004E4628" w:rsidP="004E4628">
      <w:pPr>
        <w:pStyle w:val="BodyText"/>
      </w:pPr>
      <w:r>
        <w:t xml:space="preserve">Zhu, Q., Tan, P., Li, Y., et al. (2018). DHX29 functions as an RNA co-sensor for MDA5-mediated EMCV-specific antiviral immunity. </w:t>
      </w:r>
      <w:proofErr w:type="spellStart"/>
      <w:r>
        <w:t>PLoS</w:t>
      </w:r>
      <w:proofErr w:type="spellEnd"/>
      <w:r>
        <w:t xml:space="preserve"> Pathogens, 14(2), Article e1006886. </w:t>
      </w:r>
      <w:hyperlink r:id="rId153" w:history="1">
        <w:r w:rsidR="00C11D26" w:rsidRPr="001263DC">
          <w:rPr>
            <w:rStyle w:val="Hyperlink"/>
          </w:rPr>
          <w:t>https://doi.org/10.1371/journal.ppat.1006886</w:t>
        </w:r>
      </w:hyperlink>
    </w:p>
    <w:p w14:paraId="5135BAB9" w14:textId="24619E7F" w:rsidR="004E4628" w:rsidRDefault="004E4628" w:rsidP="004E4628">
      <w:pPr>
        <w:pStyle w:val="BodyText"/>
      </w:pPr>
      <w:r>
        <w:t>Zohary, D., &amp; Hopf, M. (1988). Domestication of plants in the Old World. Oxford University Press.</w:t>
      </w:r>
    </w:p>
    <w:p w14:paraId="26834617" w14:textId="3072C24D" w:rsidR="004E4628" w:rsidRPr="004E4628" w:rsidRDefault="004E4628" w:rsidP="004E4628">
      <w:pPr>
        <w:pStyle w:val="BodyText"/>
      </w:pPr>
      <w:r>
        <w:t>Zohary, D., Hopf, M., &amp; Weiss, E. (2012). Domestication of plants in the Old World (4th ed.). Oxford University Press.</w:t>
      </w:r>
    </w:p>
    <w:sectPr w:rsidR="004E4628" w:rsidRPr="004E4628">
      <w:footerReference w:type="default" r:id="rId15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AFB0" w14:textId="77777777" w:rsidR="00622B60" w:rsidRDefault="00622B60">
      <w:r>
        <w:separator/>
      </w:r>
    </w:p>
  </w:endnote>
  <w:endnote w:type="continuationSeparator" w:id="0">
    <w:p w14:paraId="425C3818" w14:textId="77777777" w:rsidR="00622B60" w:rsidRDefault="0062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FB4" w14:textId="41FB8697" w:rsidR="0044031B" w:rsidRDefault="000E5810">
    <w:pPr>
      <w:pStyle w:val="Footer"/>
    </w:pPr>
    <w:r>
      <w:t>J. Craddock</w:t>
    </w:r>
    <w:r>
      <w:ptab w:relativeTo="margin" w:alignment="center" w:leader="none"/>
    </w:r>
    <w:r>
      <w:t>Redacted Science Research Initiative</w:t>
    </w:r>
    <w:r>
      <w:ptab w:relativeTo="margin" w:alignment="right" w:leader="none"/>
    </w:r>
    <w:sdt>
      <w:sdtPr>
        <w:id w:val="11336001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8070" w14:textId="77777777" w:rsidR="00622B60" w:rsidRDefault="00622B60">
      <w:r>
        <w:separator/>
      </w:r>
    </w:p>
  </w:footnote>
  <w:footnote w:type="continuationSeparator" w:id="0">
    <w:p w14:paraId="4A040874" w14:textId="77777777" w:rsidR="00622B60" w:rsidRDefault="0062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7"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8"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0"/>
  </w:num>
  <w:num w:numId="2" w16cid:durableId="267592428">
    <w:abstractNumId w:val="1"/>
  </w:num>
  <w:num w:numId="3" w16cid:durableId="171877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
  </w:num>
  <w:num w:numId="6" w16cid:durableId="488132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7"/>
    <w:lvlOverride w:ilvl="0">
      <w:startOverride w:val="1"/>
    </w:lvlOverride>
  </w:num>
  <w:num w:numId="8" w16cid:durableId="557933552">
    <w:abstractNumId w:val="6"/>
    <w:lvlOverride w:ilvl="0">
      <w:startOverride w:val="1"/>
    </w:lvlOverride>
  </w:num>
  <w:num w:numId="9" w16cid:durableId="1762724075">
    <w:abstractNumId w:val="9"/>
  </w:num>
  <w:num w:numId="10" w16cid:durableId="1280332557">
    <w:abstractNumId w:val="10"/>
  </w:num>
  <w:num w:numId="11" w16cid:durableId="1571109996">
    <w:abstractNumId w:val="11"/>
  </w:num>
  <w:num w:numId="12" w16cid:durableId="1639458858">
    <w:abstractNumId w:val="8"/>
  </w:num>
  <w:num w:numId="13" w16cid:durableId="208418008">
    <w:abstractNumId w:val="4"/>
  </w:num>
  <w:num w:numId="14" w16cid:durableId="455023648">
    <w:abstractNumId w:val="3"/>
  </w:num>
  <w:num w:numId="15" w16cid:durableId="1498960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261E1"/>
    <w:rsid w:val="00053A81"/>
    <w:rsid w:val="000623BE"/>
    <w:rsid w:val="000B097D"/>
    <w:rsid w:val="000D7170"/>
    <w:rsid w:val="000E5810"/>
    <w:rsid w:val="000F3566"/>
    <w:rsid w:val="00100722"/>
    <w:rsid w:val="00106E11"/>
    <w:rsid w:val="0012746A"/>
    <w:rsid w:val="00135890"/>
    <w:rsid w:val="0014733C"/>
    <w:rsid w:val="0014771D"/>
    <w:rsid w:val="00154ECB"/>
    <w:rsid w:val="00170A8E"/>
    <w:rsid w:val="00176DFA"/>
    <w:rsid w:val="00186247"/>
    <w:rsid w:val="00193075"/>
    <w:rsid w:val="002002C8"/>
    <w:rsid w:val="002516A4"/>
    <w:rsid w:val="00267B14"/>
    <w:rsid w:val="002704FF"/>
    <w:rsid w:val="00286B5B"/>
    <w:rsid w:val="00291949"/>
    <w:rsid w:val="00296041"/>
    <w:rsid w:val="002B32C9"/>
    <w:rsid w:val="002B7430"/>
    <w:rsid w:val="002E7FB0"/>
    <w:rsid w:val="002F56E5"/>
    <w:rsid w:val="00303C34"/>
    <w:rsid w:val="00321C13"/>
    <w:rsid w:val="00324D02"/>
    <w:rsid w:val="003428BF"/>
    <w:rsid w:val="00355FA7"/>
    <w:rsid w:val="00376C9E"/>
    <w:rsid w:val="0044031B"/>
    <w:rsid w:val="00475E5E"/>
    <w:rsid w:val="00477D53"/>
    <w:rsid w:val="0048334F"/>
    <w:rsid w:val="0048689D"/>
    <w:rsid w:val="004B0C83"/>
    <w:rsid w:val="004C2097"/>
    <w:rsid w:val="004D0185"/>
    <w:rsid w:val="004E4628"/>
    <w:rsid w:val="004F0C55"/>
    <w:rsid w:val="00506ABE"/>
    <w:rsid w:val="005076C7"/>
    <w:rsid w:val="00541D23"/>
    <w:rsid w:val="005561F7"/>
    <w:rsid w:val="00556297"/>
    <w:rsid w:val="0056404C"/>
    <w:rsid w:val="0056527D"/>
    <w:rsid w:val="00596423"/>
    <w:rsid w:val="005B184C"/>
    <w:rsid w:val="005E2B9F"/>
    <w:rsid w:val="005F30F3"/>
    <w:rsid w:val="00600D32"/>
    <w:rsid w:val="00616314"/>
    <w:rsid w:val="00622B60"/>
    <w:rsid w:val="006274A9"/>
    <w:rsid w:val="00651250"/>
    <w:rsid w:val="006B0622"/>
    <w:rsid w:val="006B394B"/>
    <w:rsid w:val="006C3A6A"/>
    <w:rsid w:val="006C6C26"/>
    <w:rsid w:val="006D4AAC"/>
    <w:rsid w:val="00703E52"/>
    <w:rsid w:val="00704873"/>
    <w:rsid w:val="007D2E6A"/>
    <w:rsid w:val="007D53A1"/>
    <w:rsid w:val="00810600"/>
    <w:rsid w:val="00814B3A"/>
    <w:rsid w:val="008242FA"/>
    <w:rsid w:val="00830994"/>
    <w:rsid w:val="00832428"/>
    <w:rsid w:val="0083549D"/>
    <w:rsid w:val="00835E98"/>
    <w:rsid w:val="00846AD1"/>
    <w:rsid w:val="00881F3E"/>
    <w:rsid w:val="008A3403"/>
    <w:rsid w:val="008B3E98"/>
    <w:rsid w:val="008C5431"/>
    <w:rsid w:val="008D38A9"/>
    <w:rsid w:val="008E7F6E"/>
    <w:rsid w:val="00937F2A"/>
    <w:rsid w:val="00966C93"/>
    <w:rsid w:val="00994ED6"/>
    <w:rsid w:val="00996803"/>
    <w:rsid w:val="009B06E6"/>
    <w:rsid w:val="009B2933"/>
    <w:rsid w:val="009B31C9"/>
    <w:rsid w:val="009D0ACF"/>
    <w:rsid w:val="009D1EE2"/>
    <w:rsid w:val="009E14B6"/>
    <w:rsid w:val="009F7B45"/>
    <w:rsid w:val="00A10B33"/>
    <w:rsid w:val="00A311F5"/>
    <w:rsid w:val="00A339A8"/>
    <w:rsid w:val="00A33B91"/>
    <w:rsid w:val="00A5792C"/>
    <w:rsid w:val="00A875A6"/>
    <w:rsid w:val="00A93DCE"/>
    <w:rsid w:val="00A956E9"/>
    <w:rsid w:val="00AC3824"/>
    <w:rsid w:val="00AD22CD"/>
    <w:rsid w:val="00AD76A1"/>
    <w:rsid w:val="00AE05B7"/>
    <w:rsid w:val="00AE36B6"/>
    <w:rsid w:val="00B06EEC"/>
    <w:rsid w:val="00B149F7"/>
    <w:rsid w:val="00B96683"/>
    <w:rsid w:val="00C11D26"/>
    <w:rsid w:val="00C17DAF"/>
    <w:rsid w:val="00C23559"/>
    <w:rsid w:val="00C24827"/>
    <w:rsid w:val="00C3060A"/>
    <w:rsid w:val="00C366CE"/>
    <w:rsid w:val="00C70533"/>
    <w:rsid w:val="00C82776"/>
    <w:rsid w:val="00C82A31"/>
    <w:rsid w:val="00C86A39"/>
    <w:rsid w:val="00C93564"/>
    <w:rsid w:val="00CD0D4C"/>
    <w:rsid w:val="00CF3580"/>
    <w:rsid w:val="00CF5826"/>
    <w:rsid w:val="00D15554"/>
    <w:rsid w:val="00D405D9"/>
    <w:rsid w:val="00D42E30"/>
    <w:rsid w:val="00D4723D"/>
    <w:rsid w:val="00D50E64"/>
    <w:rsid w:val="00D9255A"/>
    <w:rsid w:val="00D953B8"/>
    <w:rsid w:val="00DA3B46"/>
    <w:rsid w:val="00DA5F11"/>
    <w:rsid w:val="00DC1DEA"/>
    <w:rsid w:val="00DC3040"/>
    <w:rsid w:val="00DD6777"/>
    <w:rsid w:val="00DE3B97"/>
    <w:rsid w:val="00DE7F61"/>
    <w:rsid w:val="00DF6124"/>
    <w:rsid w:val="00E050CC"/>
    <w:rsid w:val="00E07447"/>
    <w:rsid w:val="00E32394"/>
    <w:rsid w:val="00E401BF"/>
    <w:rsid w:val="00E85315"/>
    <w:rsid w:val="00EB18C9"/>
    <w:rsid w:val="00F03553"/>
    <w:rsid w:val="00F06B84"/>
    <w:rsid w:val="00F11D95"/>
    <w:rsid w:val="00F231F5"/>
    <w:rsid w:val="00F60C3C"/>
    <w:rsid w:val="00F61072"/>
    <w:rsid w:val="00F812E6"/>
    <w:rsid w:val="00FA617D"/>
    <w:rsid w:val="00FB1CA4"/>
    <w:rsid w:val="00FD2B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1E1"/>
    <w:pPr>
      <w:spacing w:after="0"/>
      <w:ind w:firstLine="720"/>
    </w:pPr>
    <w:rPr>
      <w:rFonts w:ascii="Times New Roman" w:hAnsi="Times New Roman"/>
    </w:rPr>
  </w:style>
  <w:style w:type="paragraph" w:styleId="Heading1">
    <w:name w:val="heading 1"/>
    <w:basedOn w:val="Normal"/>
    <w:next w:val="BodyText"/>
    <w:uiPriority w:val="9"/>
    <w:qFormat/>
    <w:rsid w:val="000261E1"/>
    <w:pPr>
      <w:keepNext/>
      <w:keepLines/>
      <w:spacing w:before="480"/>
      <w:ind w:firstLine="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ind w:firstLine="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7554/eLife.75490" TargetMode="External"/><Relationship Id="rId21" Type="http://schemas.openxmlformats.org/officeDocument/2006/relationships/hyperlink" Target="https://doi.org/10.1038/s41586-026-10176-" TargetMode="External"/><Relationship Id="rId42" Type="http://schemas.openxmlformats.org/officeDocument/2006/relationships/hyperlink" Target="https://www.redactedscience.org/" TargetMode="External"/><Relationship Id="rId63" Type="http://schemas.openxmlformats.org/officeDocument/2006/relationships/hyperlink" Target="https://doi.org/10.1007/s12231-016-9351-1" TargetMode="External"/><Relationship Id="rId84" Type="http://schemas.openxmlformats.org/officeDocument/2006/relationships/hyperlink" Target="https://doi.org/10.1098/rstb.2014.0064" TargetMode="External"/><Relationship Id="rId138" Type="http://schemas.openxmlformats.org/officeDocument/2006/relationships/hyperlink" Target="https://doi.org/10.1371/journal.ppat.1003995" TargetMode="External"/><Relationship Id="rId107" Type="http://schemas.openxmlformats.org/officeDocument/2006/relationships/hyperlink" Target="https://doi.org/10.1126/science.aar1954" TargetMode="External"/><Relationship Id="rId11" Type="http://schemas.openxmlformats.org/officeDocument/2006/relationships/image" Target="media/image3.svg"/><Relationship Id="rId32" Type="http://schemas.openxmlformats.org/officeDocument/2006/relationships/hyperlink" Target="https://doi.org/10.1038/316788a0" TargetMode="External"/><Relationship Id="rId53" Type="http://schemas.openxmlformats.org/officeDocument/2006/relationships/hyperlink" Target="https://doi.org/10.1073/pnas.1514996112" TargetMode="External"/><Relationship Id="rId74" Type="http://schemas.openxmlformats.org/officeDocument/2006/relationships/hyperlink" Target="https://doi.org/10.1007/s10695-017-0395-7" TargetMode="External"/><Relationship Id="rId128" Type="http://schemas.openxmlformats.org/officeDocument/2006/relationships/hyperlink" Target="https://doi.org/10.1007/s00430-010-0169-7" TargetMode="External"/><Relationship Id="rId149" Type="http://schemas.openxmlformats.org/officeDocument/2006/relationships/hyperlink" Target="https://doi.org/10.1038/s41467-021-26525-z" TargetMode="External"/><Relationship Id="rId5" Type="http://schemas.openxmlformats.org/officeDocument/2006/relationships/footnotes" Target="footnotes.xml"/><Relationship Id="rId95" Type="http://schemas.openxmlformats.org/officeDocument/2006/relationships/hyperlink" Target="https://doi.org/10.1080/15592294.2018.1554521" TargetMode="External"/><Relationship Id="rId22" Type="http://schemas.openxmlformats.org/officeDocument/2006/relationships/hyperlink" Target="https://doi.org/10.1371/journal.ppat.1000612" TargetMode="External"/><Relationship Id="rId27" Type="http://schemas.openxmlformats.org/officeDocument/2006/relationships/hyperlink" Target="https://doi.org/10.3389/fgene.2018.00166" TargetMode="External"/><Relationship Id="rId43" Type="http://schemas.openxmlformats.org/officeDocument/2006/relationships/hyperlink" Target="https://doi.org/10.1128/mBio.01646-16" TargetMode="External"/><Relationship Id="rId48" Type="http://schemas.openxmlformats.org/officeDocument/2006/relationships/hyperlink" Target="https://doi.org/10.1098/rstb.2011.0394" TargetMode="External"/><Relationship Id="rId64" Type="http://schemas.openxmlformats.org/officeDocument/2006/relationships/hyperlink" Target="https://doi.org/10.1038/nature19065" TargetMode="External"/><Relationship Id="rId69" Type="http://schemas.openxmlformats.org/officeDocument/2006/relationships/hyperlink" Target="https://doi.org/10.1038/317130a0" TargetMode="External"/><Relationship Id="rId113" Type="http://schemas.openxmlformats.org/officeDocument/2006/relationships/hyperlink" Target="https://doi.org/10.1038/269165a0" TargetMode="External"/><Relationship Id="rId118" Type="http://schemas.openxmlformats.org/officeDocument/2006/relationships/hyperlink" Target="https://doi.org/10.1093/jxb/ern260" TargetMode="External"/><Relationship Id="rId134" Type="http://schemas.openxmlformats.org/officeDocument/2006/relationships/hyperlink" Target="https://doi.org/10.1016/j.quascirev.2010.07.007" TargetMode="External"/><Relationship Id="rId139" Type="http://schemas.openxmlformats.org/officeDocument/2006/relationships/hyperlink" Target="https://doi.org/10.1128/mBio.00055-11" TargetMode="External"/><Relationship Id="rId80" Type="http://schemas.openxmlformats.org/officeDocument/2006/relationships/hyperlink" Target="https://doi.org/10.1073/pnas.1512864112" TargetMode="External"/><Relationship Id="rId85" Type="http://schemas.openxmlformats.org/officeDocument/2006/relationships/hyperlink" Target="https://doi.org/10.1007/978-1-4020-9980-9_13" TargetMode="External"/><Relationship Id="rId150" Type="http://schemas.openxmlformats.org/officeDocument/2006/relationships/hyperlink" Target="https://doi.org/10.1016/j.immuni.2013.08.003" TargetMode="External"/><Relationship Id="rId155" Type="http://schemas.openxmlformats.org/officeDocument/2006/relationships/fontTable" Target="fontTable.xml"/><Relationship Id="rId12" Type="http://schemas.openxmlformats.org/officeDocument/2006/relationships/image" Target="media/image4.png"/><Relationship Id="rId17" Type="http://schemas.openxmlformats.org/officeDocument/2006/relationships/hyperlink" Target="https://doi.org/10.1099/jmm.0.46172-0" TargetMode="External"/><Relationship Id="rId33" Type="http://schemas.openxmlformats.org/officeDocument/2006/relationships/hyperlink" Target="https://doi.org/10.1128/EC.00186-06" TargetMode="External"/><Relationship Id="rId38" Type="http://schemas.openxmlformats.org/officeDocument/2006/relationships/hyperlink" Target="https://doi.org/10.1038/s41467-025-62953-x" TargetMode="External"/><Relationship Id="rId59" Type="http://schemas.openxmlformats.org/officeDocument/2006/relationships/hyperlink" Target="https://doi.org/10.1016/S1473-3099(14)70799-5" TargetMode="External"/><Relationship Id="rId103" Type="http://schemas.openxmlformats.org/officeDocument/2006/relationships/hyperlink" Target="https://doi.org/10.1016/j.phrs.2009.03.019" TargetMode="External"/><Relationship Id="rId108" Type="http://schemas.openxmlformats.org/officeDocument/2006/relationships/hyperlink" Target="https://doi.org/10.1371/journal.ppat.1011885" TargetMode="External"/><Relationship Id="rId124" Type="http://schemas.openxmlformats.org/officeDocument/2006/relationships/hyperlink" Target="https://doi.org/10.1016/j.jmb.2006.06.040" TargetMode="External"/><Relationship Id="rId129" Type="http://schemas.openxmlformats.org/officeDocument/2006/relationships/hyperlink" Target="https://doi.org/10.1016/j.femsle.2005.09.015" TargetMode="External"/><Relationship Id="rId54" Type="http://schemas.openxmlformats.org/officeDocument/2006/relationships/hyperlink" Target="https://doi.org/10.1016/j.quascirev.2008.11.001" TargetMode="External"/><Relationship Id="rId70" Type="http://schemas.openxmlformats.org/officeDocument/2006/relationships/hyperlink" Target="https://doi.org/10.1038/s41467-022-31237-z" TargetMode="External"/><Relationship Id="rId75" Type="http://schemas.openxmlformats.org/officeDocument/2006/relationships/hyperlink" Target="https://doi.org/10.3389/fcimb.2018.00286" TargetMode="External"/><Relationship Id="rId91" Type="http://schemas.openxmlformats.org/officeDocument/2006/relationships/hyperlink" Target="https://doi.org/10.1073/pnas.1109631108" TargetMode="External"/><Relationship Id="rId96" Type="http://schemas.openxmlformats.org/officeDocument/2006/relationships/hyperlink" Target="https://doi.org/10.1080/21505594.2021.2019950" TargetMode="External"/><Relationship Id="rId140" Type="http://schemas.openxmlformats.org/officeDocument/2006/relationships/hyperlink" Target="https://doi.org/10.1126/science.1239705" TargetMode="External"/><Relationship Id="rId145" Type="http://schemas.openxmlformats.org/officeDocument/2006/relationships/hyperlink" Target="https://doi.org/10.1016/j.freeradbiomed.2014.09.01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3390/ijms22073658" TargetMode="External"/><Relationship Id="rId28" Type="http://schemas.openxmlformats.org/officeDocument/2006/relationships/hyperlink" Target="https://doi.org/10.1016/0277-3791(91)90033-Q" TargetMode="External"/><Relationship Id="rId49" Type="http://schemas.openxmlformats.org/officeDocument/2006/relationships/hyperlink" Target="https://doi.org/10.1016/S0378-1119(02)01094-6" TargetMode="External"/><Relationship Id="rId114" Type="http://schemas.openxmlformats.org/officeDocument/2006/relationships/hyperlink" Target="https://doi.org/10.1093/jxb/erm342" TargetMode="External"/><Relationship Id="rId119" Type="http://schemas.openxmlformats.org/officeDocument/2006/relationships/hyperlink" Target="https://doi.org/10.1016/j.fbr.2017.07.002" TargetMode="External"/><Relationship Id="rId44" Type="http://schemas.openxmlformats.org/officeDocument/2006/relationships/hyperlink" Target="https://doi.org/10.1016/j.epsl.2006.04.009" TargetMode="External"/><Relationship Id="rId60" Type="http://schemas.openxmlformats.org/officeDocument/2006/relationships/hyperlink" Target="https://doi.org/10.1126/science.adw0288" TargetMode="External"/><Relationship Id="rId65" Type="http://schemas.openxmlformats.org/officeDocument/2006/relationships/hyperlink" Target="https://doi.org/10.3389/fcimb.2024.1499461" TargetMode="External"/><Relationship Id="rId81" Type="http://schemas.openxmlformats.org/officeDocument/2006/relationships/hyperlink" Target="https://doi.org/10.1016/j.psyneuen.2020.104808" TargetMode="External"/><Relationship Id="rId86" Type="http://schemas.openxmlformats.org/officeDocument/2006/relationships/hyperlink" Target="https://doi.org/10.1128/JCM.01574-07" TargetMode="External"/><Relationship Id="rId130" Type="http://schemas.openxmlformats.org/officeDocument/2006/relationships/hyperlink" Target="https://doi.org/10.1128/EC.00159-10" TargetMode="External"/><Relationship Id="rId135" Type="http://schemas.openxmlformats.org/officeDocument/2006/relationships/hyperlink" Target="https://doi.org/10.1016/S0012-821X(02)01105-6" TargetMode="External"/><Relationship Id="rId151" Type="http://schemas.openxmlformats.org/officeDocument/2006/relationships/hyperlink" Target="https://doi.org/10.1086/315406" TargetMode="External"/><Relationship Id="rId156" Type="http://schemas.openxmlformats.org/officeDocument/2006/relationships/theme" Target="theme/theme1.xml"/><Relationship Id="rId13" Type="http://schemas.openxmlformats.org/officeDocument/2006/relationships/hyperlink" Target="https://jimcraddock.substack.com/p/kill-it" TargetMode="External"/><Relationship Id="rId18" Type="http://schemas.openxmlformats.org/officeDocument/2006/relationships/hyperlink" Target="https://doi.org/10.1038/s41429-017-0009-8" TargetMode="External"/><Relationship Id="rId39" Type="http://schemas.openxmlformats.org/officeDocument/2006/relationships/hyperlink" Target="https://doi.org/10.4049/jimmunol.1000756" TargetMode="External"/><Relationship Id="rId109" Type="http://schemas.openxmlformats.org/officeDocument/2006/relationships/hyperlink" Target="https://doi.org/10.1128/mBio.01318-18" TargetMode="External"/><Relationship Id="rId34" Type="http://schemas.openxmlformats.org/officeDocument/2006/relationships/hyperlink" Target="https://doi.org/10.1038/ncomms6488" TargetMode="External"/><Relationship Id="rId50" Type="http://schemas.openxmlformats.org/officeDocument/2006/relationships/hyperlink" Target="https://doi.org/10.1371/journal.pgen.1000664" TargetMode="External"/><Relationship Id="rId55" Type="http://schemas.openxmlformats.org/officeDocument/2006/relationships/hyperlink" Target="https://doi.org/10.1038/2111414a0" TargetMode="External"/><Relationship Id="rId76" Type="http://schemas.openxmlformats.org/officeDocument/2006/relationships/hyperlink" Target="https://doi.org/10.1371/journal.ppat.1013284" TargetMode="External"/><Relationship Id="rId97" Type="http://schemas.openxmlformats.org/officeDocument/2006/relationships/hyperlink" Target="https://doi.org/10.1016/S0140-6736(21)01330-1" TargetMode="External"/><Relationship Id="rId104" Type="http://schemas.openxmlformats.org/officeDocument/2006/relationships/hyperlink" Target="https://doi.org/10.3390/cells11142235" TargetMode="External"/><Relationship Id="rId120" Type="http://schemas.openxmlformats.org/officeDocument/2006/relationships/hyperlink" Target="https://doi.org/10.1111/mmi.13933" TargetMode="External"/><Relationship Id="rId125" Type="http://schemas.openxmlformats.org/officeDocument/2006/relationships/hyperlink" Target="https://doi.org/10.1371/journal.pbio.3000422" TargetMode="External"/><Relationship Id="rId141" Type="http://schemas.openxmlformats.org/officeDocument/2006/relationships/hyperlink" Target="https://doi.org/10.1073/pnas.2422756122" TargetMode="External"/><Relationship Id="rId146" Type="http://schemas.openxmlformats.org/officeDocument/2006/relationships/hyperlink" Target="https://doi.org/10.1371/journal.pbio.1002023" TargetMode="External"/><Relationship Id="rId7" Type="http://schemas.openxmlformats.org/officeDocument/2006/relationships/hyperlink" Target="https://www.redactedscience.org" TargetMode="External"/><Relationship Id="rId71" Type="http://schemas.openxmlformats.org/officeDocument/2006/relationships/hyperlink" Target="https://doi.org/10.1128/mBio.00143-15" TargetMode="External"/><Relationship Id="rId92" Type="http://schemas.openxmlformats.org/officeDocument/2006/relationships/hyperlink" Target="https://doi.org/10.1038/nature08112" TargetMode="External"/><Relationship Id="rId2" Type="http://schemas.openxmlformats.org/officeDocument/2006/relationships/styles" Target="styles.xml"/><Relationship Id="rId29" Type="http://schemas.openxmlformats.org/officeDocument/2006/relationships/hyperlink" Target="https://doi.org/10.1016/S0921-8181(02)00178-9" TargetMode="External"/><Relationship Id="rId24" Type="http://schemas.openxmlformats.org/officeDocument/2006/relationships/hyperlink" Target="https://doi.org/10.1186/1471-2180-8-116" TargetMode="External"/><Relationship Id="rId40" Type="http://schemas.openxmlformats.org/officeDocument/2006/relationships/hyperlink" Target="https://doi.org/10.1016/j.jafrearsci.2005.07.019" TargetMode="External"/><Relationship Id="rId45" Type="http://schemas.openxmlformats.org/officeDocument/2006/relationships/hyperlink" Target="https://doi.org/10.1016/j.chemgeo.2022.121153" TargetMode="External"/><Relationship Id="rId66" Type="http://schemas.openxmlformats.org/officeDocument/2006/relationships/hyperlink" Target="https://doi.org/10.1101/2025.09.26.678928" TargetMode="External"/><Relationship Id="rId87" Type="http://schemas.openxmlformats.org/officeDocument/2006/relationships/hyperlink" Target="https://doi.org/10.1111/j.1420-9101.2005.01028.x" TargetMode="External"/><Relationship Id="rId110" Type="http://schemas.openxmlformats.org/officeDocument/2006/relationships/hyperlink" Target="https://doi.org/10.1111/j.1365-2958.2006.05136.x" TargetMode="External"/><Relationship Id="rId115" Type="http://schemas.openxmlformats.org/officeDocument/2006/relationships/hyperlink" Target="https://doi.org/10.64898/2026.03.22.713509" TargetMode="External"/><Relationship Id="rId131" Type="http://schemas.openxmlformats.org/officeDocument/2006/relationships/hyperlink" Target="https://doi.org/10.1016/j.biopsych.2015.09.014" TargetMode="External"/><Relationship Id="rId136" Type="http://schemas.openxmlformats.org/officeDocument/2006/relationships/hyperlink" Target="https://doi.org/10.1126/science.1112964" TargetMode="External"/><Relationship Id="rId61" Type="http://schemas.openxmlformats.org/officeDocument/2006/relationships/hyperlink" Target="https://doi.org/10.3390/cells9030699" TargetMode="External"/><Relationship Id="rId82" Type="http://schemas.openxmlformats.org/officeDocument/2006/relationships/hyperlink" Target="https://doi.org/10.1128/msphere.00098-22" TargetMode="External"/><Relationship Id="rId152" Type="http://schemas.openxmlformats.org/officeDocument/2006/relationships/hyperlink" Target="https://doi.org/10.3389/fimmu.2022.959962" TargetMode="External"/><Relationship Id="rId19" Type="http://schemas.openxmlformats.org/officeDocument/2006/relationships/hyperlink" Target="https://doi.org/10.1371/journal.ppat.1009710" TargetMode="External"/><Relationship Id="rId14" Type="http://schemas.openxmlformats.org/officeDocument/2006/relationships/hyperlink" Target="https://jimcraddock.substack.com/p/kill-it" TargetMode="External"/><Relationship Id="rId30" Type="http://schemas.openxmlformats.org/officeDocument/2006/relationships/hyperlink" Target="https://doi.org/10.3390/ijms25116122" TargetMode="External"/><Relationship Id="rId35" Type="http://schemas.openxmlformats.org/officeDocument/2006/relationships/hyperlink" Target="https://doi.org/10.1038/nature08064" TargetMode="External"/><Relationship Id="rId56" Type="http://schemas.openxmlformats.org/officeDocument/2006/relationships/hyperlink" Target="https://doi.org/10.1128/EC.00031-12" TargetMode="External"/><Relationship Id="rId77" Type="http://schemas.openxmlformats.org/officeDocument/2006/relationships/hyperlink" Target="https://doi.org/10.1038/s41467-024-46141-x" TargetMode="External"/><Relationship Id="rId100" Type="http://schemas.openxmlformats.org/officeDocument/2006/relationships/hyperlink" Target="https://doi.org/10.1128/iai.00404-24" TargetMode="External"/><Relationship Id="rId105" Type="http://schemas.openxmlformats.org/officeDocument/2006/relationships/hyperlink" Target="https://doi.org/10.1128/spectrum.02462-22" TargetMode="External"/><Relationship Id="rId126" Type="http://schemas.openxmlformats.org/officeDocument/2006/relationships/hyperlink" Target="https://doi.org/10.1371/journal.pone.0076750" TargetMode="External"/><Relationship Id="rId147" Type="http://schemas.openxmlformats.org/officeDocument/2006/relationships/hyperlink" Target="https://doi.org/10.1371/journal.pbio.2006872" TargetMode="External"/><Relationship Id="rId8" Type="http://schemas.openxmlformats.org/officeDocument/2006/relationships/hyperlink" Target="https://www.jimcraddock.com/" TargetMode="External"/><Relationship Id="rId51" Type="http://schemas.openxmlformats.org/officeDocument/2006/relationships/hyperlink" Target="https://doi.org/10.1128/IAI.00232-07" TargetMode="External"/><Relationship Id="rId72" Type="http://schemas.openxmlformats.org/officeDocument/2006/relationships/hyperlink" Target="https://doi.org/10.1016/j.neubiorev.2008.07.007" TargetMode="External"/><Relationship Id="rId93" Type="http://schemas.openxmlformats.org/officeDocument/2006/relationships/hyperlink" Target="https://doi.org/10.1038/nature17625" TargetMode="External"/><Relationship Id="rId98" Type="http://schemas.openxmlformats.org/officeDocument/2006/relationships/hyperlink" Target="https://doi.org/10.1128/mmbr.00081-22" TargetMode="External"/><Relationship Id="rId121" Type="http://schemas.openxmlformats.org/officeDocument/2006/relationships/hyperlink" Target="https://doi.org/10.1038/s41598-020-67015-w" TargetMode="External"/><Relationship Id="rId142" Type="http://schemas.openxmlformats.org/officeDocument/2006/relationships/hyperlink" Target="https://www.who.int/publications/i/item/9789240060241" TargetMode="External"/><Relationship Id="rId3" Type="http://schemas.openxmlformats.org/officeDocument/2006/relationships/settings" Target="settings.xml"/><Relationship Id="rId25" Type="http://schemas.openxmlformats.org/officeDocument/2006/relationships/hyperlink" Target="https://doi.org/10.1038/nmicrobiol.2016.238" TargetMode="External"/><Relationship Id="rId46" Type="http://schemas.openxmlformats.org/officeDocument/2006/relationships/hyperlink" Target="https://doi.org/10.1128/EC.00008-13" TargetMode="External"/><Relationship Id="rId67" Type="http://schemas.openxmlformats.org/officeDocument/2006/relationships/hyperlink" Target="https://doi.org/10.3109/13693786.2010.532514" TargetMode="External"/><Relationship Id="rId116" Type="http://schemas.openxmlformats.org/officeDocument/2006/relationships/hyperlink" Target="https://doi.org/10.1002/9781444311822" TargetMode="External"/><Relationship Id="rId137" Type="http://schemas.openxmlformats.org/officeDocument/2006/relationships/hyperlink" Target="https://doi.org/10.1371/journal.ppat.1006149" TargetMode="External"/><Relationship Id="rId20" Type="http://schemas.openxmlformats.org/officeDocument/2006/relationships/hyperlink" Target="https://doi.org/10.1101/2025.02.18.638918" TargetMode="External"/><Relationship Id="rId41" Type="http://schemas.openxmlformats.org/officeDocument/2006/relationships/hyperlink" Target="https://doi.org/10.5281/zenodo.19337526" TargetMode="External"/><Relationship Id="rId62" Type="http://schemas.openxmlformats.org/officeDocument/2006/relationships/hyperlink" Target="https://doi.org/10.1101/gr.097501.109" TargetMode="External"/><Relationship Id="rId83" Type="http://schemas.openxmlformats.org/officeDocument/2006/relationships/hyperlink" Target="https://doi.org/10.1016/j.quascirev.2014.06.012" TargetMode="External"/><Relationship Id="rId88" Type="http://schemas.openxmlformats.org/officeDocument/2006/relationships/hyperlink" Target="https://doi.org/10.1007/s00334-019-00731-8" TargetMode="External"/><Relationship Id="rId111" Type="http://schemas.openxmlformats.org/officeDocument/2006/relationships/hyperlink" Target="https://doi.org/10.1016/j.steroids.2019.108501" TargetMode="External"/><Relationship Id="rId132" Type="http://schemas.openxmlformats.org/officeDocument/2006/relationships/hyperlink" Target="https://doi.org/10.1126/science.1154456" TargetMode="External"/><Relationship Id="rId153" Type="http://schemas.openxmlformats.org/officeDocument/2006/relationships/hyperlink" Target="https://doi.org/10.1371/journal.ppat.1006886" TargetMode="External"/><Relationship Id="rId15" Type="http://schemas.openxmlformats.org/officeDocument/2006/relationships/hyperlink" Target="https://doi.org/10.1073/pnas.1612177114" TargetMode="External"/><Relationship Id="rId36" Type="http://schemas.openxmlformats.org/officeDocument/2006/relationships/hyperlink" Target="https://doi.org/10.1126/science.aar4142" TargetMode="External"/><Relationship Id="rId57" Type="http://schemas.openxmlformats.org/officeDocument/2006/relationships/hyperlink" Target="https://doi.org/10.7554/eLife.76162" TargetMode="External"/><Relationship Id="rId106" Type="http://schemas.openxmlformats.org/officeDocument/2006/relationships/hyperlink" Target="https://doi.org/10.1038/sj.bjp.0707442" TargetMode="External"/><Relationship Id="rId127" Type="http://schemas.openxmlformats.org/officeDocument/2006/relationships/hyperlink" Target="https://doi.org/10.1016/j.chom.2016.02.001" TargetMode="External"/><Relationship Id="rId10" Type="http://schemas.openxmlformats.org/officeDocument/2006/relationships/image" Target="media/image2.png"/><Relationship Id="rId31" Type="http://schemas.openxmlformats.org/officeDocument/2006/relationships/hyperlink" Target="https://doi.org/10.1038/ni1209" TargetMode="External"/><Relationship Id="rId52" Type="http://schemas.openxmlformats.org/officeDocument/2006/relationships/hyperlink" Target="https://doi.org/10.1038/srep22989" TargetMode="External"/><Relationship Id="rId73" Type="http://schemas.openxmlformats.org/officeDocument/2006/relationships/hyperlink" Target="https://doi.org/10.1007/BF02862859" TargetMode="External"/><Relationship Id="rId78" Type="http://schemas.openxmlformats.org/officeDocument/2006/relationships/hyperlink" Target="https://doi.org/10.1128/EC.3.5.1076-1087.2004" TargetMode="External"/><Relationship Id="rId94" Type="http://schemas.openxmlformats.org/officeDocument/2006/relationships/hyperlink" Target="https://doi.org/10.1038/s41467-019-09915-2" TargetMode="External"/><Relationship Id="rId99" Type="http://schemas.openxmlformats.org/officeDocument/2006/relationships/hyperlink" Target="https://doi.org/10.7554/eLife.64682" TargetMode="External"/><Relationship Id="rId101" Type="http://schemas.openxmlformats.org/officeDocument/2006/relationships/hyperlink" Target="https://doi.org/10.1128/IAI.69.5.2957-2963.2001" TargetMode="External"/><Relationship Id="rId122" Type="http://schemas.openxmlformats.org/officeDocument/2006/relationships/hyperlink" Target="https://doi.org/10.1016/0005-2736(91)90062-D" TargetMode="External"/><Relationship Id="rId143" Type="http://schemas.openxmlformats.org/officeDocument/2006/relationships/hyperlink" Target="https://doi.org/10.1130/G35915.1" TargetMode="External"/><Relationship Id="rId148" Type="http://schemas.openxmlformats.org/officeDocument/2006/relationships/hyperlink" Target="https://doi.org/10.1073/pnas.2211424119" TargetMode="External"/><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hyperlink" Target="https://doi.org/10.1111/j.1462-5822.2005.00676.x" TargetMode="External"/><Relationship Id="rId47" Type="http://schemas.openxmlformats.org/officeDocument/2006/relationships/hyperlink" Target="https://doi.org/10.1161/HYP.0000000000000047" TargetMode="External"/><Relationship Id="rId68" Type="http://schemas.openxmlformats.org/officeDocument/2006/relationships/hyperlink" Target="https://doi.org/10.1126/science.1114383" TargetMode="External"/><Relationship Id="rId89" Type="http://schemas.openxmlformats.org/officeDocument/2006/relationships/hyperlink" Target="https://doi.org/10.1093/gbe/evy034" TargetMode="External"/><Relationship Id="rId112" Type="http://schemas.openxmlformats.org/officeDocument/2006/relationships/hyperlink" Target="https://doi.org/10.1128/mBio.02178-17" TargetMode="External"/><Relationship Id="rId133" Type="http://schemas.openxmlformats.org/officeDocument/2006/relationships/hyperlink" Target="https://doi.org/10.1073/pnas.2016818118" TargetMode="External"/><Relationship Id="rId154" Type="http://schemas.openxmlformats.org/officeDocument/2006/relationships/footer" Target="footer1.xml"/><Relationship Id="rId16" Type="http://schemas.openxmlformats.org/officeDocument/2006/relationships/hyperlink" Target="https://doi.org/10.1016/j.bjid.2013.09.006" TargetMode="External"/><Relationship Id="rId37" Type="http://schemas.openxmlformats.org/officeDocument/2006/relationships/hyperlink" Target="https://doi.org/10.1128/iai.62.8.3138-3145.1994" TargetMode="External"/><Relationship Id="rId58" Type="http://schemas.openxmlformats.org/officeDocument/2006/relationships/hyperlink" Target="https://doi.org/10.1038/nature14464" TargetMode="External"/><Relationship Id="rId79" Type="http://schemas.openxmlformats.org/officeDocument/2006/relationships/hyperlink" Target="https://doi.org/10.1038/nrn4036" TargetMode="External"/><Relationship Id="rId102" Type="http://schemas.openxmlformats.org/officeDocument/2006/relationships/hyperlink" Target="https://doi.org/10.1016/j.phytochem.2014.11.012" TargetMode="External"/><Relationship Id="rId123" Type="http://schemas.openxmlformats.org/officeDocument/2006/relationships/hyperlink" Target="https://doi.org/10.1128/EC.00292-13" TargetMode="External"/><Relationship Id="rId144" Type="http://schemas.openxmlformats.org/officeDocument/2006/relationships/hyperlink" Target="https://doi.org/10.1093/mmy/myaa060" TargetMode="External"/><Relationship Id="rId90" Type="http://schemas.openxmlformats.org/officeDocument/2006/relationships/hyperlink" Target="https://doi.org/10.1371/journal.pone.002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798</TotalTime>
  <Pages>97</Pages>
  <Words>42551</Words>
  <Characters>296160</Characters>
  <Application>Microsoft Office Word</Application>
  <DocSecurity>0</DocSecurity>
  <Lines>4171</Lines>
  <Paragraphs>1254</Paragraphs>
  <ScaleCrop>false</ScaleCrop>
  <HeadingPairs>
    <vt:vector size="2" baseType="variant">
      <vt:variant>
        <vt:lpstr>Title</vt:lpstr>
      </vt:variant>
      <vt:variant>
        <vt:i4>1</vt:i4>
      </vt:variant>
    </vt:vector>
  </HeadingPairs>
  <TitlesOfParts>
    <vt:vector size="1" baseType="lpstr">
      <vt:lpstr>The Saline Oscillation Hypothesis: Endocannabinoid-Mediated Fungal Hominin Co-Evolution in the East African Rift Valley</vt:lpstr>
    </vt:vector>
  </TitlesOfParts>
  <Company/>
  <LinksUpToDate>false</LinksUpToDate>
  <CharactersWithSpaces>337457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Saline Oscillation Hypothesis: Endocannabinoid-Mediated Fungal Hominin Co-Evolution in the East African Rift Valley</dc:title>
  <dc:subject>Human Evolution</dc:subject>
  <dc:creator>Craddock, Jim (HSC)</dc:creator>
  <cp:keywords>RedactedScience;HumanEvolution</cp:keywords>
  <cp:lastModifiedBy>Craddock, Jim (HSC)</cp:lastModifiedBy>
  <cp:revision>17</cp:revision>
  <dcterms:created xsi:type="dcterms:W3CDTF">2026-03-31T23:50:00Z</dcterms:created>
  <dcterms:modified xsi:type="dcterms:W3CDTF">2026-04-01T13:08:00Z</dcterms:modified>
</cp:coreProperties>
</file>