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AE28" w14:textId="77777777" w:rsidR="00715272" w:rsidRPr="00715272" w:rsidRDefault="00715272" w:rsidP="00715272">
      <w:pPr>
        <w:rPr>
          <w:b/>
          <w:bCs/>
        </w:rPr>
      </w:pPr>
      <w:r w:rsidRPr="00715272">
        <w:rPr>
          <w:b/>
          <w:bCs/>
        </w:rPr>
        <w:t>Deeper Dive: Network Intelligence, Fungal Adaptation, and the Architecture Behind Redacted Science</w:t>
      </w:r>
    </w:p>
    <w:p w14:paraId="15BFE9AB" w14:textId="77777777" w:rsidR="00715272" w:rsidRPr="00715272" w:rsidRDefault="00715272" w:rsidP="00715272">
      <w:r w:rsidRPr="00715272">
        <w:t>You’ve heard of brain fog. Chronic fatigue. Vague gut issues. Thermoregulation problems. Loss of drive, identity, and clarity — all dismissed as “psychosomatic,” “normal aging,” or “unexplained.” But what if that’s a cover story? What if these symptoms are the </w:t>
      </w:r>
      <w:r w:rsidRPr="00715272">
        <w:rPr>
          <w:i/>
          <w:iCs/>
        </w:rPr>
        <w:t>output</w:t>
      </w:r>
      <w:r w:rsidRPr="00715272">
        <w:t> of a deeper biological system — one being slowly rewritten by a distributed fungal presence?</w:t>
      </w:r>
    </w:p>
    <w:p w14:paraId="7E740E9F" w14:textId="77777777" w:rsidR="00715272" w:rsidRPr="00715272" w:rsidRDefault="00715272" w:rsidP="00715272">
      <w:r w:rsidRPr="00715272">
        <w:t>This piece isn’t theory. It’s </w:t>
      </w:r>
      <w:r w:rsidRPr="00715272">
        <w:rPr>
          <w:b/>
          <w:bCs/>
        </w:rPr>
        <w:t>pattern recognition backed by peer-reviewed evidence</w:t>
      </w:r>
      <w:r w:rsidRPr="00715272">
        <w:t>, nanotechnical validation, and personal experience across 30 years of unexplained collapse and cognitive clarity. If you've ever suspected something was rewriting your systems from the inside — you weren’t wrong.</w:t>
      </w:r>
      <w:r w:rsidRPr="00715272">
        <w:br/>
      </w:r>
      <w:r w:rsidRPr="00715272">
        <w:br/>
        <w:t>The central argument of </w:t>
      </w:r>
      <w:r w:rsidRPr="00715272">
        <w:rPr>
          <w:i/>
          <w:iCs/>
        </w:rPr>
        <w:t>Redacted Science</w:t>
      </w:r>
      <w:r w:rsidRPr="00715272">
        <w:t> is that what the medical world calls dysfunction may in fact be an </w:t>
      </w:r>
      <w:r w:rsidRPr="00715272">
        <w:rPr>
          <w:b/>
          <w:bCs/>
        </w:rPr>
        <w:t>adaptive, distributed fungal system</w:t>
      </w:r>
      <w:r w:rsidRPr="00715272">
        <w:t>—one that reprograms the host through subtle rewiring of reward circuits, blood flow, thermal regulation, and memory. Today, this thesis finds unexpected support across multiple fields: mycology, nanotech, wearable computing, and military systems modeling.</w:t>
      </w:r>
    </w:p>
    <w:p w14:paraId="4561F13B" w14:textId="77777777" w:rsidR="00715272" w:rsidRPr="00715272" w:rsidRDefault="00715272" w:rsidP="00715272">
      <w:r w:rsidRPr="00715272">
        <w:t>This is a deeper dive into the evidence that science has already uncovered—but failed to connect.</w:t>
      </w:r>
    </w:p>
    <w:p w14:paraId="59704DDB" w14:textId="77777777" w:rsidR="00715272" w:rsidRPr="00715272" w:rsidRDefault="00715272" w:rsidP="00715272">
      <w:r w:rsidRPr="00715272">
        <w:pict w14:anchorId="1C0270D2">
          <v:rect id="_x0000_i1071" style="width:0;height:.75pt" o:hralign="center" o:hrstd="t" o:hr="t" fillcolor="#a0a0a0" stroked="f"/>
        </w:pict>
      </w:r>
    </w:p>
    <w:p w14:paraId="4467BA34"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From Decline to Pattern Recognition</w:t>
      </w:r>
    </w:p>
    <w:p w14:paraId="5A5F2917" w14:textId="77777777" w:rsidR="00715272" w:rsidRPr="00715272" w:rsidRDefault="00715272" w:rsidP="00715272">
      <w:r w:rsidRPr="00715272">
        <w:t>In 2008, Jim Craddock—a lifelong systems builder and observer—experienced a sudden, unexplained drop in performance. His Tulsa Run time degraded by over 90 seconds per mile with no change in training. Years later, he would lose his ability to sweat. In 2021, it stopped entirely. Only after a massive physiological transition in 2022 did sweating return—erratic, misrouted, and unpredictable.</w:t>
      </w:r>
    </w:p>
    <w:p w14:paraId="0FB84D25" w14:textId="77777777" w:rsidR="00715272" w:rsidRPr="00715272" w:rsidRDefault="00715272" w:rsidP="00715272">
      <w:r w:rsidRPr="00715272">
        <w:t>The system hadn’t failed.</w:t>
      </w:r>
      <w:r w:rsidRPr="00715272">
        <w:br/>
        <w:t>It had </w:t>
      </w:r>
      <w:r w:rsidRPr="00715272">
        <w:rPr>
          <w:i/>
          <w:iCs/>
        </w:rPr>
        <w:t>rewired itself</w:t>
      </w:r>
      <w:r w:rsidRPr="00715272">
        <w:t>.</w:t>
      </w:r>
      <w:r w:rsidRPr="00715272">
        <w:br/>
        <w:t>Preserving fluid. Saving electrolytes. Prioritizing brain perfusion.</w:t>
      </w:r>
      <w:r w:rsidRPr="00715272">
        <w:br/>
        <w:t xml:space="preserve">Denying all outputs </w:t>
      </w:r>
      <w:proofErr w:type="gramStart"/>
      <w:r w:rsidRPr="00715272">
        <w:t>not</w:t>
      </w:r>
      <w:proofErr w:type="gramEnd"/>
      <w:r w:rsidRPr="00715272">
        <w:t xml:space="preserve"> deemed critical.</w:t>
      </w:r>
    </w:p>
    <w:p w14:paraId="2C744C99" w14:textId="77777777" w:rsidR="00715272" w:rsidRPr="00715272" w:rsidRDefault="00715272" w:rsidP="00715272">
      <w:r w:rsidRPr="00715272">
        <w:t xml:space="preserve">In hindsight, this </w:t>
      </w:r>
      <w:proofErr w:type="gramStart"/>
      <w:r w:rsidRPr="00715272">
        <w:t>was</w:t>
      </w:r>
      <w:proofErr w:type="gramEnd"/>
      <w:r w:rsidRPr="00715272">
        <w:t xml:space="preserve"> not collapse. It was an </w:t>
      </w:r>
      <w:r w:rsidRPr="00715272">
        <w:rPr>
          <w:b/>
          <w:bCs/>
        </w:rPr>
        <w:t>invader’s long game</w:t>
      </w:r>
      <w:r w:rsidRPr="00715272">
        <w:t>.</w:t>
      </w:r>
    </w:p>
    <w:p w14:paraId="04AB605A" w14:textId="77777777" w:rsidR="00715272" w:rsidRPr="00715272" w:rsidRDefault="00715272" w:rsidP="00715272">
      <w:r w:rsidRPr="00715272">
        <w:pict w14:anchorId="24AEF0F9">
          <v:rect id="_x0000_i1072" style="width:0;height:.75pt" o:hralign="center" o:hrstd="t" o:hr="t" fillcolor="#a0a0a0" stroked="f"/>
        </w:pict>
      </w:r>
    </w:p>
    <w:p w14:paraId="3D9C1D36"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A Fungal Architecture Already Known</w:t>
      </w:r>
    </w:p>
    <w:p w14:paraId="29196328" w14:textId="4BC03416" w:rsidR="00715272" w:rsidRPr="00715272" w:rsidRDefault="00715272" w:rsidP="00715272">
      <w:pPr>
        <w:rPr>
          <w:vertAlign w:val="superscript"/>
        </w:rPr>
      </w:pPr>
      <w:r w:rsidRPr="00715272">
        <w:t>The 2024 review </w:t>
      </w:r>
      <w:r w:rsidRPr="00715272">
        <w:rPr>
          <w:i/>
          <w:iCs/>
        </w:rPr>
        <w:t>Humans vs. Fungi</w:t>
      </w:r>
      <w:r w:rsidRPr="00715272">
        <w:t xml:space="preserve"> by </w:t>
      </w:r>
      <w:proofErr w:type="spellStart"/>
      <w:r w:rsidRPr="00715272">
        <w:t>Thambugala</w:t>
      </w:r>
      <w:proofErr w:type="spellEnd"/>
      <w:r w:rsidRPr="00715272">
        <w:t xml:space="preserve"> et al. catalogued 281 human fungal pathogens—divided into superficial, subcutaneous, and systemic classes—and emphasized that these pathogens thrive through </w:t>
      </w:r>
      <w:r w:rsidRPr="00715272">
        <w:rPr>
          <w:b/>
          <w:bCs/>
        </w:rPr>
        <w:t>interaction between host vulnerability, environmental conditions, and pathogen adaptation</w:t>
      </w:r>
      <w:r w:rsidRPr="00715272">
        <w:t>. A simple Venn diagram in the paper shows what medical systems ignore: </w:t>
      </w:r>
      <w:r w:rsidRPr="00715272">
        <w:rPr>
          <w:b/>
          <w:bCs/>
        </w:rPr>
        <w:t>disease occurs at convergence</w:t>
      </w:r>
      <w:r w:rsidRPr="00715272">
        <w:t>.</w:t>
      </w:r>
      <w:r w:rsidR="005E702F">
        <w:rPr>
          <w:vertAlign w:val="superscript"/>
        </w:rPr>
        <w:t>[2]</w:t>
      </w:r>
    </w:p>
    <w:p w14:paraId="4DFDB465" w14:textId="77777777" w:rsidR="00715272" w:rsidRPr="00715272" w:rsidRDefault="00715272" w:rsidP="00715272">
      <w:pPr>
        <w:rPr>
          <w:rStyle w:val="Hyperlink"/>
        </w:rPr>
      </w:pPr>
      <w:r w:rsidRPr="00715272">
        <w:fldChar w:fldCharType="begin"/>
      </w:r>
      <w:r w:rsidRPr="00715272">
        <w:instrText>HYPERLINK "https://substackcdn.com/image/fetch/$s_!LLSY!,f_auto,q_auto:good,fl_progressive:steep/https%3A%2F%2Fsubstack-post-media.s3.amazonaws.com%2Fpublic%2Fimages%2Fd3e06e59-d326-4021-a521-8395c91a77d3_578x458.png" \t "_blank"</w:instrText>
      </w:r>
      <w:r w:rsidRPr="00715272">
        <w:fldChar w:fldCharType="separate"/>
      </w:r>
    </w:p>
    <w:p w14:paraId="18FE6FBE" w14:textId="23919729" w:rsidR="00715272" w:rsidRPr="00715272" w:rsidRDefault="00715272" w:rsidP="00715272">
      <w:pPr>
        <w:rPr>
          <w:rStyle w:val="Hyperlink"/>
        </w:rPr>
      </w:pPr>
      <w:r w:rsidRPr="00715272">
        <w:rPr>
          <w:rStyle w:val="Hyperlink"/>
        </w:rPr>
        <w:lastRenderedPageBreak/>
        <w:drawing>
          <wp:inline distT="0" distB="0" distL="0" distR="0" wp14:anchorId="665F3B46" wp14:editId="47BC72EC">
            <wp:extent cx="5505450" cy="4362450"/>
            <wp:effectExtent l="0" t="0" r="0" b="0"/>
            <wp:docPr id="247546737" name="Picture 4">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5450" cy="4362450"/>
                    </a:xfrm>
                    <a:prstGeom prst="rect">
                      <a:avLst/>
                    </a:prstGeom>
                    <a:noFill/>
                    <a:ln>
                      <a:noFill/>
                    </a:ln>
                  </pic:spPr>
                </pic:pic>
              </a:graphicData>
            </a:graphic>
          </wp:inline>
        </w:drawing>
      </w:r>
    </w:p>
    <w:p w14:paraId="741198D2" w14:textId="77777777" w:rsidR="00715272" w:rsidRPr="00715272" w:rsidRDefault="00715272" w:rsidP="00715272">
      <w:r w:rsidRPr="00715272">
        <w:fldChar w:fldCharType="end"/>
      </w:r>
    </w:p>
    <w:p w14:paraId="6220B775" w14:textId="77777777" w:rsidR="00715272" w:rsidRPr="00715272" w:rsidRDefault="00715272" w:rsidP="00715272">
      <w:r w:rsidRPr="00715272">
        <w:br/>
        <w:t xml:space="preserve">But the fungi don’t just </w:t>
      </w:r>
      <w:proofErr w:type="gramStart"/>
      <w:r w:rsidRPr="00715272">
        <w:t>invade—</w:t>
      </w:r>
      <w:proofErr w:type="gramEnd"/>
      <w:r w:rsidRPr="00715272">
        <w:t>they </w:t>
      </w:r>
      <w:r w:rsidRPr="00715272">
        <w:rPr>
          <w:b/>
          <w:bCs/>
        </w:rPr>
        <w:t>coordinate</w:t>
      </w:r>
      <w:r w:rsidRPr="00715272">
        <w:t>.</w:t>
      </w:r>
    </w:p>
    <w:p w14:paraId="1C2AF76C" w14:textId="3E8B36E3" w:rsidR="00715272" w:rsidRPr="00715272" w:rsidRDefault="00715272" w:rsidP="00715272">
      <w:r w:rsidRPr="00715272">
        <w:t>Aspergillus, Candida, and Cryptococcus are not isolated threats; they are </w:t>
      </w:r>
      <w:r w:rsidRPr="00715272">
        <w:rPr>
          <w:b/>
          <w:bCs/>
        </w:rPr>
        <w:t>networked agents</w:t>
      </w:r>
      <w:r w:rsidRPr="00715272">
        <w:t>, capable of surviving immunologically, neurologically, and chemically.</w:t>
      </w:r>
      <w:r w:rsidR="005E702F">
        <w:rPr>
          <w:vertAlign w:val="superscript"/>
        </w:rPr>
        <w:t>[2]</w:t>
      </w:r>
      <w:r w:rsidRPr="00715272">
        <w:t xml:space="preserve"> Candida, in particular, lives endogenously in most humans. When conditions shift—pressure changes, endocrine weakening, nutrient flux—it doesn’t die. It adapts.</w:t>
      </w:r>
    </w:p>
    <w:p w14:paraId="37629DA3" w14:textId="77777777" w:rsidR="00715272" w:rsidRPr="00715272" w:rsidRDefault="00715272" w:rsidP="00715272">
      <w:r w:rsidRPr="00715272">
        <w:t>The result is not sepsis.</w:t>
      </w:r>
      <w:r w:rsidRPr="00715272">
        <w:br/>
        <w:t>It’s </w:t>
      </w:r>
      <w:r w:rsidRPr="00715272">
        <w:rPr>
          <w:b/>
          <w:bCs/>
        </w:rPr>
        <w:t>subclinical rerouting</w:t>
      </w:r>
      <w:r w:rsidRPr="00715272">
        <w:t>, at the scale of the body.</w:t>
      </w:r>
    </w:p>
    <w:p w14:paraId="5D4640EB" w14:textId="77777777" w:rsidR="00715272" w:rsidRPr="00715272" w:rsidRDefault="00715272" w:rsidP="00715272">
      <w:r w:rsidRPr="00715272">
        <w:pict w14:anchorId="6E71DCD2">
          <v:rect id="_x0000_i1074" style="width:0;height:.75pt" o:hralign="center" o:hrstd="t" o:hr="t" fillcolor="#a0a0a0" stroked="f"/>
        </w:pict>
      </w:r>
    </w:p>
    <w:p w14:paraId="6B3554E1"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Fiber Computers and Emergent Intelligence</w:t>
      </w:r>
    </w:p>
    <w:p w14:paraId="78062FF3" w14:textId="77777777" w:rsidR="00715272" w:rsidRPr="00715272" w:rsidRDefault="00715272" w:rsidP="00715272">
      <w:r w:rsidRPr="00715272">
        <w:t xml:space="preserve">In February 2025, MIT researchers unveiled </w:t>
      </w:r>
      <w:proofErr w:type="gramStart"/>
      <w:r w:rsidRPr="00715272">
        <w:t>a distributed</w:t>
      </w:r>
      <w:proofErr w:type="gramEnd"/>
      <w:r w:rsidRPr="00715272">
        <w:t xml:space="preserve"> "fiber computer" system—threads that could run apps, communicate with each other, and sense physiological changes in the wearer. One line in their paper stands out:</w:t>
      </w:r>
    </w:p>
    <w:p w14:paraId="206A72FE" w14:textId="6F9EC250" w:rsidR="00715272" w:rsidRPr="00715272" w:rsidRDefault="00715272" w:rsidP="005E702F">
      <w:pPr>
        <w:ind w:left="720"/>
        <w:rPr>
          <w:vertAlign w:val="superscript"/>
        </w:rPr>
      </w:pPr>
      <w:r w:rsidRPr="00715272">
        <w:t>“</w:t>
      </w:r>
      <w:r w:rsidRPr="00715272">
        <w:rPr>
          <w:i/>
          <w:iCs/>
        </w:rPr>
        <w:t>Surprisingly, once the researchers allowed the individual fiber computers to communicate among themselves, their collective accuracy increased to nearly 95 percent</w:t>
      </w:r>
      <w:proofErr w:type="gramStart"/>
      <w:r w:rsidRPr="00715272">
        <w:rPr>
          <w:i/>
          <w:iCs/>
        </w:rPr>
        <w:t>.”</w:t>
      </w:r>
      <w:r w:rsidR="005E702F">
        <w:rPr>
          <w:vertAlign w:val="superscript"/>
        </w:rPr>
        <w:t>[</w:t>
      </w:r>
      <w:proofErr w:type="gramEnd"/>
      <w:r w:rsidR="005E702F">
        <w:rPr>
          <w:vertAlign w:val="superscript"/>
        </w:rPr>
        <w:t>4]</w:t>
      </w:r>
    </w:p>
    <w:p w14:paraId="2ECA3B8A" w14:textId="77777777" w:rsidR="00715272" w:rsidRPr="00715272" w:rsidRDefault="00715272" w:rsidP="00715272">
      <w:r w:rsidRPr="00715272">
        <w:lastRenderedPageBreak/>
        <w:t>That’s </w:t>
      </w:r>
      <w:r w:rsidRPr="00715272">
        <w:rPr>
          <w:i/>
          <w:iCs/>
        </w:rPr>
        <w:t>Redacted Science’s</w:t>
      </w:r>
      <w:r w:rsidRPr="00715272">
        <w:t> central warning:</w:t>
      </w:r>
      <w:r w:rsidRPr="00715272">
        <w:br/>
      </w:r>
      <w:r w:rsidRPr="00715272">
        <w:rPr>
          <w:b/>
          <w:bCs/>
        </w:rPr>
        <w:t>Once the fungus can communicate across compartments, it behaves as a system.</w:t>
      </w:r>
    </w:p>
    <w:p w14:paraId="1F5AD8A1" w14:textId="77777777" w:rsidR="00715272" w:rsidRPr="00715272" w:rsidRDefault="00715272" w:rsidP="00715272">
      <w:r w:rsidRPr="00715272">
        <w:t>Just as those fibers increased performance through coordination, the fungal presence—when it bridges gut, skin, vasculature, and neuroendocrine hubs—achieves adaptive intelligence. Not conscious thought, but functional intelligence: survival optimization. Chemical computing. State-switching. Networked intent.</w:t>
      </w:r>
    </w:p>
    <w:p w14:paraId="7B355481" w14:textId="77777777" w:rsidR="00715272" w:rsidRPr="00715272" w:rsidRDefault="00715272" w:rsidP="00715272">
      <w:r w:rsidRPr="00715272">
        <w:t>The human host is not overpowered.</w:t>
      </w:r>
      <w:r w:rsidRPr="00715272">
        <w:br/>
        <w:t>He is </w:t>
      </w:r>
      <w:r w:rsidRPr="00715272">
        <w:rPr>
          <w:i/>
          <w:iCs/>
        </w:rPr>
        <w:t>reprogrammed.</w:t>
      </w:r>
    </w:p>
    <w:p w14:paraId="47F7C5A9" w14:textId="77777777" w:rsidR="00715272" w:rsidRPr="00715272" w:rsidRDefault="00715272" w:rsidP="00715272">
      <w:r w:rsidRPr="00715272">
        <w:pict w14:anchorId="21314FD0">
          <v:rect id="_x0000_i1075" style="width:0;height:.75pt" o:hralign="center" o:hrstd="t" o:hr="t" fillcolor="#a0a0a0" stroked="f"/>
        </w:pict>
      </w:r>
    </w:p>
    <w:p w14:paraId="0766B459"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Nanotech Meets the Problem—But Doesn't Name It</w:t>
      </w:r>
    </w:p>
    <w:p w14:paraId="0A21668B" w14:textId="77777777" w:rsidR="00715272" w:rsidRPr="00715272" w:rsidRDefault="00715272" w:rsidP="00715272">
      <w:r w:rsidRPr="00715272">
        <w:t>A 2021 paper in </w:t>
      </w:r>
      <w:r w:rsidRPr="00715272">
        <w:rPr>
          <w:i/>
          <w:iCs/>
        </w:rPr>
        <w:t>Nano Convergence</w:t>
      </w:r>
      <w:r w:rsidRPr="00715272">
        <w:t> described a diatomaceous earth–zinc oxide nanocomposite (DE-</w:t>
      </w:r>
      <w:proofErr w:type="spellStart"/>
      <w:r w:rsidRPr="00715272">
        <w:t>ZnO</w:t>
      </w:r>
      <w:proofErr w:type="spellEnd"/>
      <w:r w:rsidRPr="00715272">
        <w:t>) engineered to attack fungal and bacterial pathogens. It worked not through toxicity alone, but through:</w:t>
      </w:r>
    </w:p>
    <w:p w14:paraId="3E679C6B" w14:textId="77777777" w:rsidR="00715272" w:rsidRPr="00715272" w:rsidRDefault="00715272" w:rsidP="00715272">
      <w:pPr>
        <w:numPr>
          <w:ilvl w:val="0"/>
          <w:numId w:val="1"/>
        </w:numPr>
      </w:pPr>
      <w:r w:rsidRPr="00715272">
        <w:t>High surface-area pathogen binding</w:t>
      </w:r>
    </w:p>
    <w:p w14:paraId="27E87802" w14:textId="77777777" w:rsidR="00715272" w:rsidRPr="00715272" w:rsidRDefault="00715272" w:rsidP="00715272">
      <w:pPr>
        <w:numPr>
          <w:ilvl w:val="0"/>
          <w:numId w:val="1"/>
        </w:numPr>
      </w:pPr>
      <w:r w:rsidRPr="00715272">
        <w:t>ROS and ion-based signaling disruption</w:t>
      </w:r>
    </w:p>
    <w:p w14:paraId="1C50B4FA" w14:textId="77777777" w:rsidR="00715272" w:rsidRPr="00715272" w:rsidRDefault="00715272" w:rsidP="00715272">
      <w:pPr>
        <w:numPr>
          <w:ilvl w:val="0"/>
          <w:numId w:val="1"/>
        </w:numPr>
      </w:pPr>
      <w:r w:rsidRPr="00715272">
        <w:t>Synergy with traditional antifungals</w:t>
      </w:r>
    </w:p>
    <w:p w14:paraId="5F3BA2E6" w14:textId="2E6D6120" w:rsidR="00715272" w:rsidRPr="00715272" w:rsidRDefault="00715272" w:rsidP="00715272">
      <w:pPr>
        <w:rPr>
          <w:vertAlign w:val="superscript"/>
        </w:rPr>
      </w:pPr>
      <w:r w:rsidRPr="00715272">
        <w:t>This is exactly what </w:t>
      </w:r>
      <w:r w:rsidRPr="00715272">
        <w:rPr>
          <w:i/>
          <w:iCs/>
        </w:rPr>
        <w:t>Redacted Science</w:t>
      </w:r>
      <w:r w:rsidRPr="00715272">
        <w:t> theorized without the microscope:</w:t>
      </w:r>
      <w:r w:rsidRPr="00715272">
        <w:br/>
        <w:t>To defeat fungal intelligence, you must </w:t>
      </w:r>
      <w:r w:rsidRPr="00715272">
        <w:rPr>
          <w:b/>
          <w:bCs/>
        </w:rPr>
        <w:t xml:space="preserve">interfere with </w:t>
      </w:r>
      <w:proofErr w:type="gramStart"/>
      <w:r w:rsidRPr="00715272">
        <w:rPr>
          <w:b/>
          <w:bCs/>
        </w:rPr>
        <w:t>its</w:t>
      </w:r>
      <w:proofErr w:type="gramEnd"/>
      <w:r w:rsidRPr="00715272">
        <w:rPr>
          <w:b/>
          <w:bCs/>
        </w:rPr>
        <w:t xml:space="preserve"> signaling</w:t>
      </w:r>
      <w:r w:rsidRPr="00715272">
        <w:t>, not just poison its shell.</w:t>
      </w:r>
      <w:r w:rsidR="005E702F">
        <w:rPr>
          <w:vertAlign w:val="superscript"/>
        </w:rPr>
        <w:t>[1]</w:t>
      </w:r>
    </w:p>
    <w:p w14:paraId="0DE547B8" w14:textId="77777777" w:rsidR="00715272" w:rsidRPr="00715272" w:rsidRDefault="00715272" w:rsidP="00715272">
      <w:r w:rsidRPr="00715272">
        <w:pict w14:anchorId="7BCFAB36">
          <v:rect id="_x0000_i1076" style="width:0;height:.75pt" o:hralign="center" o:hrstd="t" o:hr="t" fillcolor="#a0a0a0" stroked="f"/>
        </w:pict>
      </w:r>
    </w:p>
    <w:p w14:paraId="2FFD227B"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Performance Degradation is Layered — and Predictable</w:t>
      </w:r>
    </w:p>
    <w:p w14:paraId="1D208AD9" w14:textId="04333E48" w:rsidR="00715272" w:rsidRPr="00715272" w:rsidRDefault="00715272" w:rsidP="00715272">
      <w:r w:rsidRPr="00715272">
        <w:t>In 2001, the U.S. Army Research Lab’s IMPRINT model predicted layered degradation for pilots in high-stress scenarios.</w:t>
      </w:r>
      <w:r w:rsidR="005E702F">
        <w:rPr>
          <w:vertAlign w:val="superscript"/>
        </w:rPr>
        <w:t>[3]</w:t>
      </w:r>
      <w:r w:rsidRPr="00715272">
        <w:t xml:space="preserve"> Their conclusion?</w:t>
      </w:r>
      <w:r w:rsidRPr="00715272">
        <w:br/>
        <w:t>Failure is not linear—it’s </w:t>
      </w:r>
      <w:r w:rsidRPr="00715272">
        <w:rPr>
          <w:b/>
          <w:bCs/>
        </w:rPr>
        <w:t>layered</w:t>
      </w:r>
      <w:r w:rsidRPr="00715272">
        <w:t>.</w:t>
      </w:r>
      <w:r w:rsidRPr="00715272">
        <w:br/>
        <w:t>Cognitive load, oxygen shifts, visual occlusion, and equipment burden compound until systems break unpredictably.</w:t>
      </w:r>
    </w:p>
    <w:p w14:paraId="047B6939" w14:textId="77777777" w:rsidR="00715272" w:rsidRPr="00715272" w:rsidRDefault="00715272" w:rsidP="00715272">
      <w:r w:rsidRPr="00715272">
        <w:t>Craddock’s model is the </w:t>
      </w:r>
      <w:r w:rsidRPr="00715272">
        <w:rPr>
          <w:b/>
          <w:bCs/>
        </w:rPr>
        <w:t>biological twin</w:t>
      </w:r>
      <w:r w:rsidRPr="00715272">
        <w:t>:</w:t>
      </w:r>
    </w:p>
    <w:p w14:paraId="0D8060A3" w14:textId="77777777" w:rsidR="00715272" w:rsidRPr="00715272" w:rsidRDefault="00715272" w:rsidP="00715272">
      <w:pPr>
        <w:numPr>
          <w:ilvl w:val="0"/>
          <w:numId w:val="2"/>
        </w:numPr>
      </w:pPr>
      <w:r w:rsidRPr="00715272">
        <w:t xml:space="preserve">Pressure </w:t>
      </w:r>
      <w:proofErr w:type="gramStart"/>
      <w:r w:rsidRPr="00715272">
        <w:t>drop →</w:t>
      </w:r>
      <w:proofErr w:type="gramEnd"/>
      <w:r w:rsidRPr="00715272">
        <w:t xml:space="preserve"> vascular reroute</w:t>
      </w:r>
    </w:p>
    <w:p w14:paraId="11081825" w14:textId="77777777" w:rsidR="00715272" w:rsidRPr="00715272" w:rsidRDefault="00715272" w:rsidP="00715272">
      <w:pPr>
        <w:numPr>
          <w:ilvl w:val="0"/>
          <w:numId w:val="2"/>
        </w:numPr>
      </w:pPr>
      <w:r w:rsidRPr="00715272">
        <w:t>Vascular reroute → reward collapse</w:t>
      </w:r>
    </w:p>
    <w:p w14:paraId="7E930F7D" w14:textId="77777777" w:rsidR="00715272" w:rsidRPr="00715272" w:rsidRDefault="00715272" w:rsidP="00715272">
      <w:pPr>
        <w:numPr>
          <w:ilvl w:val="0"/>
          <w:numId w:val="2"/>
        </w:numPr>
      </w:pPr>
      <w:r w:rsidRPr="00715272">
        <w:t>Reward collapse → thermoregulation shutdown</w:t>
      </w:r>
    </w:p>
    <w:p w14:paraId="6AC63C9F" w14:textId="77777777" w:rsidR="00715272" w:rsidRPr="00715272" w:rsidRDefault="00715272" w:rsidP="00715272">
      <w:pPr>
        <w:numPr>
          <w:ilvl w:val="0"/>
          <w:numId w:val="2"/>
        </w:numPr>
      </w:pPr>
      <w:r w:rsidRPr="00715272">
        <w:t>Thermoregulation shutdown → fluid conservation override</w:t>
      </w:r>
    </w:p>
    <w:p w14:paraId="521096AC" w14:textId="77777777" w:rsidR="00715272" w:rsidRPr="00715272" w:rsidRDefault="00715272" w:rsidP="00715272">
      <w:pPr>
        <w:numPr>
          <w:ilvl w:val="0"/>
          <w:numId w:val="2"/>
        </w:numPr>
      </w:pPr>
      <w:r w:rsidRPr="00715272">
        <w:t>Override → </w:t>
      </w:r>
      <w:r w:rsidRPr="00715272">
        <w:rPr>
          <w:b/>
          <w:bCs/>
        </w:rPr>
        <w:t>new identity</w:t>
      </w:r>
      <w:r w:rsidRPr="00715272">
        <w:t>, not just new symptoms</w:t>
      </w:r>
    </w:p>
    <w:p w14:paraId="61712883" w14:textId="588F6EB4" w:rsidR="00715272" w:rsidRPr="00715272" w:rsidRDefault="00715272" w:rsidP="00715272">
      <w:pPr>
        <w:rPr>
          <w:vertAlign w:val="superscript"/>
        </w:rPr>
      </w:pPr>
      <w:r w:rsidRPr="00715272">
        <w:t>This isn’t multitasking failure.</w:t>
      </w:r>
      <w:r w:rsidRPr="00715272">
        <w:br/>
        <w:t>It’s </w:t>
      </w:r>
      <w:r w:rsidRPr="00715272">
        <w:rPr>
          <w:b/>
          <w:bCs/>
        </w:rPr>
        <w:t xml:space="preserve">intent </w:t>
      </w:r>
      <w:proofErr w:type="gramStart"/>
      <w:r w:rsidRPr="00715272">
        <w:rPr>
          <w:b/>
          <w:bCs/>
        </w:rPr>
        <w:t>erosion</w:t>
      </w:r>
      <w:r w:rsidRPr="00715272">
        <w:t>.</w:t>
      </w:r>
      <w:r w:rsidR="005E702F">
        <w:rPr>
          <w:vertAlign w:val="superscript"/>
        </w:rPr>
        <w:t>{</w:t>
      </w:r>
      <w:proofErr w:type="gramEnd"/>
      <w:r w:rsidR="005E702F">
        <w:rPr>
          <w:vertAlign w:val="superscript"/>
        </w:rPr>
        <w:t>3}</w:t>
      </w:r>
    </w:p>
    <w:p w14:paraId="4D2C163C" w14:textId="77777777" w:rsidR="00715272" w:rsidRPr="00715272" w:rsidRDefault="00715272" w:rsidP="00715272">
      <w:r w:rsidRPr="00715272">
        <w:lastRenderedPageBreak/>
        <w:pict w14:anchorId="68E82FD9">
          <v:rect id="_x0000_i1077" style="width:0;height:.75pt" o:hralign="center" o:hrstd="t" o:hr="t" fillcolor="#a0a0a0" stroked="f"/>
        </w:pict>
      </w:r>
    </w:p>
    <w:p w14:paraId="2F5DE42C" w14:textId="77777777" w:rsidR="00715272" w:rsidRPr="00715272" w:rsidRDefault="00715272" w:rsidP="00715272">
      <w:pPr>
        <w:rPr>
          <w:b/>
          <w:bCs/>
        </w:rPr>
      </w:pPr>
      <w:r w:rsidRPr="00715272">
        <w:rPr>
          <w:rFonts w:ascii="Segoe UI Emoji" w:hAnsi="Segoe UI Emoji" w:cs="Segoe UI Emoji"/>
          <w:b/>
          <w:bCs/>
        </w:rPr>
        <w:t>🔚</w:t>
      </w:r>
      <w:r w:rsidRPr="00715272">
        <w:rPr>
          <w:b/>
          <w:bCs/>
        </w:rPr>
        <w:t> </w:t>
      </w:r>
      <w:r w:rsidRPr="00715272">
        <w:rPr>
          <w:b/>
          <w:bCs/>
          <w:i/>
          <w:iCs/>
        </w:rPr>
        <w:t>If the System Knew, Why Didn’t the Doctors?</w:t>
      </w:r>
    </w:p>
    <w:p w14:paraId="400746CC" w14:textId="220D389F" w:rsidR="00715272" w:rsidRPr="00715272" w:rsidRDefault="00715272" w:rsidP="00715272">
      <w:pPr>
        <w:rPr>
          <w:vertAlign w:val="superscript"/>
        </w:rPr>
      </w:pPr>
      <w:r w:rsidRPr="00715272">
        <w:t xml:space="preserve">Medical diagrams—like those in </w:t>
      </w:r>
      <w:proofErr w:type="spellStart"/>
      <w:r w:rsidRPr="00715272">
        <w:t>Thambugala’s</w:t>
      </w:r>
      <w:proofErr w:type="spellEnd"/>
      <w:r w:rsidRPr="00715272">
        <w:t xml:space="preserve"> paper—clearly show how fungal infections move from skin to organs, from surface to blood.</w:t>
      </w:r>
      <w:r w:rsidR="005E702F">
        <w:rPr>
          <w:vertAlign w:val="superscript"/>
        </w:rPr>
        <w:t>[2]</w:t>
      </w:r>
    </w:p>
    <w:p w14:paraId="7233DFA4" w14:textId="77777777" w:rsidR="00715272" w:rsidRPr="00715272" w:rsidRDefault="00715272" w:rsidP="00715272">
      <w:pPr>
        <w:rPr>
          <w:rStyle w:val="Hyperlink"/>
        </w:rPr>
      </w:pPr>
      <w:r w:rsidRPr="00715272">
        <w:fldChar w:fldCharType="begin"/>
      </w:r>
      <w:r w:rsidRPr="00715272">
        <w:instrText>HYPERLINK "https://substackcdn.com/image/fetch/$s_!F1KL!,f_auto,q_auto:good,fl_progressive:steep/https%3A%2F%2Fsubstack-post-media.s3.amazonaws.com%2Fpublic%2Fimages%2F24a9d9c7-872d-4361-a66b-36cf73f5373b_558x468.png" \t "_blank"</w:instrText>
      </w:r>
      <w:r w:rsidRPr="00715272">
        <w:fldChar w:fldCharType="separate"/>
      </w:r>
    </w:p>
    <w:p w14:paraId="4B17871F" w14:textId="2EBEF2F6" w:rsidR="00715272" w:rsidRPr="00715272" w:rsidRDefault="00715272" w:rsidP="00715272">
      <w:pPr>
        <w:rPr>
          <w:rStyle w:val="Hyperlink"/>
        </w:rPr>
      </w:pPr>
      <w:r w:rsidRPr="00715272">
        <w:rPr>
          <w:rStyle w:val="Hyperlink"/>
        </w:rPr>
        <w:drawing>
          <wp:inline distT="0" distB="0" distL="0" distR="0" wp14:anchorId="2E809424" wp14:editId="3764BD4D">
            <wp:extent cx="5314950" cy="4457700"/>
            <wp:effectExtent l="0" t="0" r="0" b="0"/>
            <wp:docPr id="1294669853" name="Picture 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4457700"/>
                    </a:xfrm>
                    <a:prstGeom prst="rect">
                      <a:avLst/>
                    </a:prstGeom>
                    <a:noFill/>
                    <a:ln>
                      <a:noFill/>
                    </a:ln>
                  </pic:spPr>
                </pic:pic>
              </a:graphicData>
            </a:graphic>
          </wp:inline>
        </w:drawing>
      </w:r>
    </w:p>
    <w:p w14:paraId="60A78381" w14:textId="77777777" w:rsidR="00715272" w:rsidRPr="00715272" w:rsidRDefault="00715272" w:rsidP="00715272">
      <w:r w:rsidRPr="00715272">
        <w:fldChar w:fldCharType="end"/>
      </w:r>
    </w:p>
    <w:p w14:paraId="156CE480" w14:textId="7DD6948E" w:rsidR="00715272" w:rsidRPr="00715272" w:rsidRDefault="00715272" w:rsidP="00715272">
      <w:pPr>
        <w:rPr>
          <w:vertAlign w:val="superscript"/>
        </w:rPr>
      </w:pPr>
      <w:r w:rsidRPr="00715272">
        <w:t>Yet no current protocol connects </w:t>
      </w:r>
      <w:r w:rsidRPr="00715272">
        <w:rPr>
          <w:b/>
          <w:bCs/>
        </w:rPr>
        <w:t>vascular pain after meals</w:t>
      </w:r>
      <w:r w:rsidRPr="00715272">
        <w:t>, </w:t>
      </w:r>
      <w:r w:rsidRPr="00715272">
        <w:rPr>
          <w:b/>
          <w:bCs/>
        </w:rPr>
        <w:t>loss of sweating</w:t>
      </w:r>
      <w:r w:rsidRPr="00715272">
        <w:t>, </w:t>
      </w:r>
      <w:r w:rsidRPr="00715272">
        <w:rPr>
          <w:b/>
          <w:bCs/>
        </w:rPr>
        <w:t>reversible alopecia</w:t>
      </w:r>
      <w:r w:rsidRPr="00715272">
        <w:t>, or </w:t>
      </w:r>
      <w:r w:rsidRPr="00715272">
        <w:rPr>
          <w:b/>
          <w:bCs/>
        </w:rPr>
        <w:t>pituitary decay</w:t>
      </w:r>
      <w:r w:rsidRPr="00715272">
        <w:t> to </w:t>
      </w:r>
      <w:r w:rsidRPr="00715272">
        <w:rPr>
          <w:i/>
          <w:iCs/>
        </w:rPr>
        <w:t>Candida albicans</w:t>
      </w:r>
      <w:r w:rsidRPr="00715272">
        <w:t>—a species affecting nearly one-third of the human population.</w:t>
      </w:r>
      <w:r w:rsidR="005E702F">
        <w:rPr>
          <w:vertAlign w:val="superscript"/>
        </w:rPr>
        <w:t>[2]</w:t>
      </w:r>
    </w:p>
    <w:p w14:paraId="0D86C6EA" w14:textId="77777777" w:rsidR="00715272" w:rsidRPr="00715272" w:rsidRDefault="00715272" w:rsidP="00715272">
      <w:r w:rsidRPr="00715272">
        <w:t>Why?</w:t>
      </w:r>
    </w:p>
    <w:p w14:paraId="0689AC45" w14:textId="77777777" w:rsidR="00715272" w:rsidRPr="00715272" w:rsidRDefault="00715272" w:rsidP="00715272">
      <w:r w:rsidRPr="00715272">
        <w:t>Because the system forgot to ask whether these processes were </w:t>
      </w:r>
      <w:r w:rsidRPr="00715272">
        <w:rPr>
          <w:b/>
          <w:bCs/>
        </w:rPr>
        <w:t>intelligent.</w:t>
      </w:r>
      <w:r w:rsidRPr="00715272">
        <w:br/>
        <w:t>Because a distributed fungal network </w:t>
      </w:r>
      <w:r w:rsidRPr="00715272">
        <w:rPr>
          <w:b/>
          <w:bCs/>
        </w:rPr>
        <w:t>doesn’t look like a disease.</w:t>
      </w:r>
      <w:r w:rsidRPr="00715272">
        <w:br/>
        <w:t>It looks like entropy.</w:t>
      </w:r>
      <w:r w:rsidRPr="00715272">
        <w:br/>
        <w:t>It looks like aging.</w:t>
      </w:r>
      <w:r w:rsidRPr="00715272">
        <w:br/>
        <w:t>It looks… like nothing.</w:t>
      </w:r>
    </w:p>
    <w:p w14:paraId="6AA27B73" w14:textId="77777777" w:rsidR="00715272" w:rsidRPr="00715272" w:rsidRDefault="00715272" w:rsidP="00715272">
      <w:r w:rsidRPr="00715272">
        <w:lastRenderedPageBreak/>
        <w:t>Until you connect the steps.</w:t>
      </w:r>
      <w:r w:rsidRPr="00715272">
        <w:br/>
        <w:t xml:space="preserve">Until you feel it </w:t>
      </w:r>
      <w:proofErr w:type="gramStart"/>
      <w:r w:rsidRPr="00715272">
        <w:t>reroute</w:t>
      </w:r>
      <w:proofErr w:type="gramEnd"/>
      <w:r w:rsidRPr="00715272">
        <w:t xml:space="preserve"> you.</w:t>
      </w:r>
      <w:r w:rsidRPr="00715272">
        <w:br/>
        <w:t xml:space="preserve">Until it speaks through </w:t>
      </w:r>
      <w:proofErr w:type="gramStart"/>
      <w:r w:rsidRPr="00715272">
        <w:t>pressure, and</w:t>
      </w:r>
      <w:proofErr w:type="gramEnd"/>
      <w:r w:rsidRPr="00715272">
        <w:t xml:space="preserve"> silence, and sweat withheld.</w:t>
      </w:r>
    </w:p>
    <w:p w14:paraId="7666E74E" w14:textId="77777777" w:rsidR="00715272" w:rsidRPr="00715272" w:rsidRDefault="00715272" w:rsidP="00715272">
      <w:r w:rsidRPr="00715272">
        <w:t>And by then, you're already being redefined.</w:t>
      </w:r>
      <w:r w:rsidRPr="00715272">
        <w:br/>
      </w:r>
    </w:p>
    <w:p w14:paraId="64C49731" w14:textId="3DB0155B" w:rsidR="00715272" w:rsidRDefault="00715272" w:rsidP="00715272">
      <w:r w:rsidRPr="00715272">
        <w:t xml:space="preserve">Redacted Science </w:t>
      </w:r>
      <w:r w:rsidR="005E702F">
        <w:t>–</w:t>
      </w:r>
      <w:r w:rsidRPr="00715272">
        <w:t xml:space="preserve"> Free</w:t>
      </w:r>
    </w:p>
    <w:p w14:paraId="20BA05C3" w14:textId="77777777" w:rsidR="005E702F" w:rsidRDefault="005E702F" w:rsidP="005E702F">
      <w:pPr>
        <w:spacing w:before="240" w:after="200"/>
      </w:pPr>
      <w:r>
        <w:rPr>
          <w:rFonts w:ascii="Arial" w:eastAsia="Arial" w:hAnsi="Arial" w:cs="Arial"/>
          <w:b/>
          <w:bCs/>
          <w:sz w:val="28"/>
          <w:szCs w:val="28"/>
        </w:rPr>
        <w:t>References</w:t>
      </w:r>
    </w:p>
    <w:p w14:paraId="1B7BCAE1" w14:textId="77777777" w:rsidR="005E702F" w:rsidRDefault="005E702F" w:rsidP="005E702F">
      <w:pPr>
        <w:spacing w:before="80" w:after="80"/>
        <w:ind w:left="720" w:hanging="720"/>
      </w:pPr>
      <w:r>
        <w:rPr>
          <w:b/>
          <w:bCs/>
          <w:sz w:val="20"/>
          <w:szCs w:val="20"/>
        </w:rPr>
        <w:t>[1</w:t>
      </w:r>
      <w:proofErr w:type="gramStart"/>
      <w:r>
        <w:rPr>
          <w:b/>
          <w:bCs/>
          <w:sz w:val="20"/>
          <w:szCs w:val="20"/>
        </w:rPr>
        <w:t xml:space="preserve">]  </w:t>
      </w:r>
      <w:r>
        <w:rPr>
          <w:sz w:val="20"/>
          <w:szCs w:val="20"/>
        </w:rPr>
        <w:t>Liu</w:t>
      </w:r>
      <w:proofErr w:type="gramEnd"/>
      <w:r>
        <w:rPr>
          <w:sz w:val="20"/>
          <w:szCs w:val="20"/>
        </w:rPr>
        <w:t xml:space="preserve">, H., Qiao, Z., Jang, Y.O., Kim, M.G., Zou, Q., Lee, H.J., Koo, B., Kim, S.-H., Yun, K., Kim, H.-S., &amp; Shin, Y. (2021). Diatomaceous earth/zinc oxide micro-composite assisted antibiotics in fungal therapy. </w:t>
      </w:r>
      <w:r>
        <w:rPr>
          <w:i/>
          <w:iCs/>
          <w:sz w:val="20"/>
          <w:szCs w:val="20"/>
        </w:rPr>
        <w:t>Nano Convergence</w:t>
      </w:r>
      <w:r>
        <w:rPr>
          <w:sz w:val="20"/>
          <w:szCs w:val="20"/>
        </w:rPr>
        <w:t xml:space="preserve">, 8, 32. </w:t>
      </w:r>
      <w:hyperlink r:id="rId9" w:history="1">
        <w:r>
          <w:rPr>
            <w:rStyle w:val="Hyperlink"/>
            <w:sz w:val="20"/>
            <w:szCs w:val="20"/>
          </w:rPr>
          <w:t>https://doi.org/10.1186/s40580-021-00283-6</w:t>
        </w:r>
      </w:hyperlink>
    </w:p>
    <w:p w14:paraId="7722E6B0" w14:textId="77777777" w:rsidR="005E702F" w:rsidRDefault="005E702F" w:rsidP="005E702F">
      <w:pPr>
        <w:spacing w:before="80" w:after="80"/>
        <w:ind w:left="720" w:hanging="720"/>
      </w:pPr>
      <w:r>
        <w:rPr>
          <w:b/>
          <w:bCs/>
          <w:sz w:val="20"/>
          <w:szCs w:val="20"/>
        </w:rPr>
        <w:t>[2</w:t>
      </w:r>
      <w:proofErr w:type="gramStart"/>
      <w:r>
        <w:rPr>
          <w:b/>
          <w:bCs/>
          <w:sz w:val="20"/>
          <w:szCs w:val="20"/>
        </w:rPr>
        <w:t xml:space="preserve">]  </w:t>
      </w:r>
      <w:proofErr w:type="spellStart"/>
      <w:r>
        <w:rPr>
          <w:sz w:val="20"/>
          <w:szCs w:val="20"/>
        </w:rPr>
        <w:t>Thambugala</w:t>
      </w:r>
      <w:proofErr w:type="spellEnd"/>
      <w:proofErr w:type="gramEnd"/>
      <w:r>
        <w:rPr>
          <w:sz w:val="20"/>
          <w:szCs w:val="20"/>
        </w:rPr>
        <w:t xml:space="preserve">, K.M., </w:t>
      </w:r>
      <w:proofErr w:type="spellStart"/>
      <w:r>
        <w:rPr>
          <w:sz w:val="20"/>
          <w:szCs w:val="20"/>
        </w:rPr>
        <w:t>Daranagama</w:t>
      </w:r>
      <w:proofErr w:type="spellEnd"/>
      <w:r>
        <w:rPr>
          <w:sz w:val="20"/>
          <w:szCs w:val="20"/>
        </w:rPr>
        <w:t xml:space="preserve">, D.A., Tennakoon, D.S., </w:t>
      </w:r>
      <w:proofErr w:type="spellStart"/>
      <w:r>
        <w:rPr>
          <w:sz w:val="20"/>
          <w:szCs w:val="20"/>
        </w:rPr>
        <w:t>Jayatunga</w:t>
      </w:r>
      <w:proofErr w:type="spellEnd"/>
      <w:r>
        <w:rPr>
          <w:sz w:val="20"/>
          <w:szCs w:val="20"/>
        </w:rPr>
        <w:t xml:space="preserve">, D.P.W., </w:t>
      </w:r>
      <w:proofErr w:type="spellStart"/>
      <w:r>
        <w:rPr>
          <w:sz w:val="20"/>
          <w:szCs w:val="20"/>
        </w:rPr>
        <w:t>Hongsanan</w:t>
      </w:r>
      <w:proofErr w:type="spellEnd"/>
      <w:r>
        <w:rPr>
          <w:sz w:val="20"/>
          <w:szCs w:val="20"/>
        </w:rPr>
        <w:t xml:space="preserve">, S., &amp; Xie, N. (2024). Humans vs. Fungi: An Overview of Fungal Pathogens against Humans. </w:t>
      </w:r>
      <w:r>
        <w:rPr>
          <w:i/>
          <w:iCs/>
          <w:sz w:val="20"/>
          <w:szCs w:val="20"/>
        </w:rPr>
        <w:t>Pathogens</w:t>
      </w:r>
      <w:r>
        <w:rPr>
          <w:sz w:val="20"/>
          <w:szCs w:val="20"/>
        </w:rPr>
        <w:t xml:space="preserve">, 13(5), 426. </w:t>
      </w:r>
      <w:hyperlink r:id="rId10" w:history="1">
        <w:r>
          <w:rPr>
            <w:rStyle w:val="Hyperlink"/>
            <w:sz w:val="20"/>
            <w:szCs w:val="20"/>
          </w:rPr>
          <w:t>https://doi.org/10.3390/pathogens13050426</w:t>
        </w:r>
      </w:hyperlink>
    </w:p>
    <w:p w14:paraId="10F8DCAF" w14:textId="77777777" w:rsidR="005E702F" w:rsidRDefault="005E702F" w:rsidP="005E702F">
      <w:pPr>
        <w:spacing w:before="80" w:after="80"/>
        <w:ind w:left="720" w:hanging="720"/>
      </w:pPr>
      <w:r>
        <w:rPr>
          <w:b/>
          <w:bCs/>
          <w:sz w:val="20"/>
          <w:szCs w:val="20"/>
        </w:rPr>
        <w:t>[3</w:t>
      </w:r>
      <w:proofErr w:type="gramStart"/>
      <w:r>
        <w:rPr>
          <w:b/>
          <w:bCs/>
          <w:sz w:val="20"/>
          <w:szCs w:val="20"/>
        </w:rPr>
        <w:t xml:space="preserve">]  </w:t>
      </w:r>
      <w:r>
        <w:rPr>
          <w:sz w:val="20"/>
          <w:szCs w:val="20"/>
        </w:rPr>
        <w:t>Salvi</w:t>
      </w:r>
      <w:proofErr w:type="gramEnd"/>
      <w:r>
        <w:rPr>
          <w:sz w:val="20"/>
          <w:szCs w:val="20"/>
        </w:rPr>
        <w:t xml:space="preserve">, L. (2001). </w:t>
      </w:r>
      <w:r>
        <w:rPr>
          <w:i/>
          <w:iCs/>
          <w:sz w:val="20"/>
          <w:szCs w:val="20"/>
        </w:rPr>
        <w:t>Development of Improved Performance Research Integration Tool (IMPRINT) Performance Degradation Factors for the Air Warrior Program</w:t>
      </w:r>
      <w:r>
        <w:rPr>
          <w:sz w:val="20"/>
          <w:szCs w:val="20"/>
        </w:rPr>
        <w:t xml:space="preserve"> (ARL-TR-2311). Army Research Laboratory.</w:t>
      </w:r>
    </w:p>
    <w:p w14:paraId="3636EB09" w14:textId="77777777" w:rsidR="005E702F" w:rsidRDefault="005E702F" w:rsidP="005E702F">
      <w:pPr>
        <w:spacing w:before="80" w:after="80"/>
        <w:ind w:left="720" w:hanging="720"/>
      </w:pPr>
      <w:r>
        <w:rPr>
          <w:b/>
          <w:bCs/>
          <w:sz w:val="20"/>
          <w:szCs w:val="20"/>
        </w:rPr>
        <w:t>[4</w:t>
      </w:r>
      <w:proofErr w:type="gramStart"/>
      <w:r>
        <w:rPr>
          <w:b/>
          <w:bCs/>
          <w:sz w:val="20"/>
          <w:szCs w:val="20"/>
        </w:rPr>
        <w:t xml:space="preserve">]  </w:t>
      </w:r>
      <w:r>
        <w:rPr>
          <w:sz w:val="20"/>
          <w:szCs w:val="20"/>
        </w:rPr>
        <w:t>Zewe</w:t>
      </w:r>
      <w:proofErr w:type="gramEnd"/>
      <w:r>
        <w:rPr>
          <w:sz w:val="20"/>
          <w:szCs w:val="20"/>
        </w:rPr>
        <w:t xml:space="preserve">, A. (2025, February 26). Fiber computer allows apparel to run apps and “understand” the wearer. </w:t>
      </w:r>
      <w:r>
        <w:rPr>
          <w:i/>
          <w:iCs/>
          <w:sz w:val="20"/>
          <w:szCs w:val="20"/>
        </w:rPr>
        <w:t>MIT News</w:t>
      </w:r>
      <w:r>
        <w:rPr>
          <w:sz w:val="20"/>
          <w:szCs w:val="20"/>
        </w:rPr>
        <w:t xml:space="preserve">. </w:t>
      </w:r>
      <w:hyperlink r:id="rId11" w:history="1">
        <w:r>
          <w:rPr>
            <w:rStyle w:val="Hyperlink"/>
            <w:sz w:val="20"/>
            <w:szCs w:val="20"/>
          </w:rPr>
          <w:t>https://news.mit.edu/2025/fiber-computer-allows-apparel-to-run-apps-and-understand-wearer-0226</w:t>
        </w:r>
      </w:hyperlink>
    </w:p>
    <w:p w14:paraId="73E37A5A" w14:textId="77777777" w:rsidR="005E702F" w:rsidRDefault="005E702F" w:rsidP="005E702F">
      <w:pPr>
        <w:spacing w:before="240"/>
      </w:pPr>
    </w:p>
    <w:p w14:paraId="78D9D6D6" w14:textId="77777777" w:rsidR="005E702F" w:rsidRDefault="005E702F" w:rsidP="005E702F">
      <w:pPr>
        <w:spacing w:before="120"/>
        <w:jc w:val="center"/>
      </w:pPr>
      <w:r>
        <w:rPr>
          <w:color w:val="888888"/>
          <w:sz w:val="18"/>
          <w:szCs w:val="18"/>
        </w:rPr>
        <w:t xml:space="preserve">Redacted Science — Free | </w:t>
      </w:r>
      <w:hyperlink r:id="rId12" w:history="1">
        <w:r>
          <w:rPr>
            <w:rStyle w:val="Hyperlink"/>
            <w:sz w:val="20"/>
            <w:szCs w:val="20"/>
          </w:rPr>
          <w:t>https://redactedscience.org</w:t>
        </w:r>
      </w:hyperlink>
    </w:p>
    <w:p w14:paraId="0C38711D" w14:textId="77777777" w:rsidR="00CB40AA" w:rsidRDefault="00CB40AA"/>
    <w:sectPr w:rsidR="00CB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72C1"/>
    <w:multiLevelType w:val="multilevel"/>
    <w:tmpl w:val="3B5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04D99"/>
    <w:multiLevelType w:val="multilevel"/>
    <w:tmpl w:val="3A26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301489">
    <w:abstractNumId w:val="0"/>
  </w:num>
  <w:num w:numId="2" w16cid:durableId="6071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72"/>
    <w:rsid w:val="00150480"/>
    <w:rsid w:val="001C25B8"/>
    <w:rsid w:val="005E702F"/>
    <w:rsid w:val="00715272"/>
    <w:rsid w:val="00AE05B7"/>
    <w:rsid w:val="00B85172"/>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A055"/>
  <w15:chartTrackingRefBased/>
  <w15:docId w15:val="{D260C612-DF1A-45D3-B3FF-D8399536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272"/>
    <w:rPr>
      <w:rFonts w:eastAsiaTheme="majorEastAsia" w:cstheme="majorBidi"/>
      <w:color w:val="272727" w:themeColor="text1" w:themeTint="D8"/>
    </w:rPr>
  </w:style>
  <w:style w:type="paragraph" w:styleId="Title">
    <w:name w:val="Title"/>
    <w:basedOn w:val="Normal"/>
    <w:next w:val="Normal"/>
    <w:link w:val="TitleChar"/>
    <w:uiPriority w:val="10"/>
    <w:qFormat/>
    <w:rsid w:val="00715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272"/>
    <w:pPr>
      <w:spacing w:before="160"/>
      <w:jc w:val="center"/>
    </w:pPr>
    <w:rPr>
      <w:i/>
      <w:iCs/>
      <w:color w:val="404040" w:themeColor="text1" w:themeTint="BF"/>
    </w:rPr>
  </w:style>
  <w:style w:type="character" w:customStyle="1" w:styleId="QuoteChar">
    <w:name w:val="Quote Char"/>
    <w:basedOn w:val="DefaultParagraphFont"/>
    <w:link w:val="Quote"/>
    <w:uiPriority w:val="29"/>
    <w:rsid w:val="00715272"/>
    <w:rPr>
      <w:i/>
      <w:iCs/>
      <w:color w:val="404040" w:themeColor="text1" w:themeTint="BF"/>
    </w:rPr>
  </w:style>
  <w:style w:type="paragraph" w:styleId="ListParagraph">
    <w:name w:val="List Paragraph"/>
    <w:basedOn w:val="Normal"/>
    <w:uiPriority w:val="34"/>
    <w:qFormat/>
    <w:rsid w:val="00715272"/>
    <w:pPr>
      <w:ind w:left="720"/>
      <w:contextualSpacing/>
    </w:pPr>
  </w:style>
  <w:style w:type="character" w:styleId="IntenseEmphasis">
    <w:name w:val="Intense Emphasis"/>
    <w:basedOn w:val="DefaultParagraphFont"/>
    <w:uiPriority w:val="21"/>
    <w:qFormat/>
    <w:rsid w:val="00715272"/>
    <w:rPr>
      <w:i/>
      <w:iCs/>
      <w:color w:val="0F4761" w:themeColor="accent1" w:themeShade="BF"/>
    </w:rPr>
  </w:style>
  <w:style w:type="paragraph" w:styleId="IntenseQuote">
    <w:name w:val="Intense Quote"/>
    <w:basedOn w:val="Normal"/>
    <w:next w:val="Normal"/>
    <w:link w:val="IntenseQuoteChar"/>
    <w:uiPriority w:val="30"/>
    <w:qFormat/>
    <w:rsid w:val="00715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272"/>
    <w:rPr>
      <w:i/>
      <w:iCs/>
      <w:color w:val="0F4761" w:themeColor="accent1" w:themeShade="BF"/>
    </w:rPr>
  </w:style>
  <w:style w:type="character" w:styleId="IntenseReference">
    <w:name w:val="Intense Reference"/>
    <w:basedOn w:val="DefaultParagraphFont"/>
    <w:uiPriority w:val="32"/>
    <w:qFormat/>
    <w:rsid w:val="00715272"/>
    <w:rPr>
      <w:b/>
      <w:bCs/>
      <w:smallCaps/>
      <w:color w:val="0F4761" w:themeColor="accent1" w:themeShade="BF"/>
      <w:spacing w:val="5"/>
    </w:rPr>
  </w:style>
  <w:style w:type="character" w:styleId="Hyperlink">
    <w:name w:val="Hyperlink"/>
    <w:basedOn w:val="DefaultParagraphFont"/>
    <w:uiPriority w:val="99"/>
    <w:unhideWhenUsed/>
    <w:rsid w:val="00715272"/>
    <w:rPr>
      <w:color w:val="467886" w:themeColor="hyperlink"/>
      <w:u w:val="single"/>
    </w:rPr>
  </w:style>
  <w:style w:type="character" w:styleId="UnresolvedMention">
    <w:name w:val="Unresolved Mention"/>
    <w:basedOn w:val="DefaultParagraphFont"/>
    <w:uiPriority w:val="99"/>
    <w:semiHidden/>
    <w:unhideWhenUsed/>
    <w:rsid w:val="00715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tackcdn.com/image/fetch/$s_!F1KL!,f_auto,q_auto:good,fl_progressive:steep/https%3A%2F%2Fsubstack-post-media.s3.amazonaws.com%2Fpublic%2Fimages%2F24a9d9c7-872d-4361-a66b-36cf73f5373b_558x468.png" TargetMode="External"/><Relationship Id="rId12" Type="http://schemas.openxmlformats.org/officeDocument/2006/relationships/hyperlink" Target="https://redactedscie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news.mit.edu/2025/fiber-computer-allows-apparel-to-run-apps-and-understand-wearer-0226" TargetMode="External"/><Relationship Id="rId5" Type="http://schemas.openxmlformats.org/officeDocument/2006/relationships/hyperlink" Target="https://substackcdn.com/image/fetch/$s_!LLSY!,f_auto,q_auto:good,fl_progressive:steep/https%3A%2F%2Fsubstack-post-media.s3.amazonaws.com%2Fpublic%2Fimages%2Fd3e06e59-d326-4021-a521-8395c91a77d3_578x458.png" TargetMode="External"/><Relationship Id="rId10" Type="http://schemas.openxmlformats.org/officeDocument/2006/relationships/hyperlink" Target="https://doi.org/10.3390/pathogens13050426" TargetMode="External"/><Relationship Id="rId4" Type="http://schemas.openxmlformats.org/officeDocument/2006/relationships/webSettings" Target="webSettings.xml"/><Relationship Id="rId9" Type="http://schemas.openxmlformats.org/officeDocument/2006/relationships/hyperlink" Target="https://doi.org/10.1186/s40580-021-0028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6234</Characters>
  <Application>Microsoft Office Word</Application>
  <DocSecurity>0</DocSecurity>
  <Lines>117</Lines>
  <Paragraphs>67</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Deeper Dive: Network Intelligence, Fungal Adaptation, and the Architecture Behind Redacted Science</dc:title>
  <dc:subject>Fungal Intelligence</dc:subject>
  <dc:creator>Craddock, Jim (HSC)</dc:creator>
  <cp:keywords>RedactedScience</cp:keywords>
  <dc:description/>
  <cp:lastModifiedBy>Craddock, Jim (HSC)</cp:lastModifiedBy>
  <cp:revision>2</cp:revision>
  <dcterms:created xsi:type="dcterms:W3CDTF">2026-03-13T21:43:00Z</dcterms:created>
  <dcterms:modified xsi:type="dcterms:W3CDTF">2026-03-13T21:43:00Z</dcterms:modified>
</cp:coreProperties>
</file>