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D2F9" w14:textId="77777777" w:rsidR="00C47FAA" w:rsidRDefault="00000000">
      <w:pPr>
        <w:pStyle w:val="Heading1"/>
        <w:jc w:val="center"/>
      </w:pPr>
      <w:r>
        <w:rPr>
          <w:sz w:val="40"/>
          <w:szCs w:val="40"/>
        </w:rPr>
        <w:t>Redacted Science: The Pan-Mammalian Co-Evolution Hypothesis</w:t>
      </w:r>
    </w:p>
    <w:p w14:paraId="0DA15355" w14:textId="77777777" w:rsidR="00C47FAA" w:rsidRDefault="00000000">
      <w:pPr>
        <w:spacing w:after="120"/>
        <w:jc w:val="center"/>
      </w:pPr>
      <w:proofErr w:type="gramStart"/>
      <w:r>
        <w:rPr>
          <w:i/>
          <w:iCs/>
          <w:color w:val="555555"/>
          <w:sz w:val="26"/>
          <w:szCs w:val="26"/>
        </w:rPr>
        <w:t>A Further</w:t>
      </w:r>
      <w:proofErr w:type="gramEnd"/>
      <w:r>
        <w:rPr>
          <w:i/>
          <w:iCs/>
          <w:color w:val="555555"/>
          <w:sz w:val="26"/>
          <w:szCs w:val="26"/>
        </w:rPr>
        <w:t xml:space="preserve"> Refinement of the Co-Evolution Framework</w:t>
      </w:r>
    </w:p>
    <w:p w14:paraId="01069230" w14:textId="77777777" w:rsidR="00C47FAA" w:rsidRDefault="00000000">
      <w:pPr>
        <w:spacing w:after="480"/>
        <w:jc w:val="center"/>
      </w:pPr>
      <w:r>
        <w:rPr>
          <w:color w:val="777777"/>
          <w:sz w:val="22"/>
          <w:szCs w:val="22"/>
        </w:rPr>
        <w:t>Jim Craddock — March 2026 — redactedscience.org</w:t>
      </w:r>
    </w:p>
    <w:p w14:paraId="7422F8A7" w14:textId="77777777" w:rsidR="00C47FAA" w:rsidRDefault="00C47FAA">
      <w:pPr>
        <w:pBdr>
          <w:bottom w:val="single" w:sz="6" w:space="1" w:color="2E4057"/>
        </w:pBdr>
        <w:spacing w:after="400"/>
      </w:pPr>
    </w:p>
    <w:p w14:paraId="7CAA07DD" w14:textId="77777777" w:rsidR="00C47FAA" w:rsidRDefault="00000000">
      <w:pPr>
        <w:spacing w:after="200"/>
      </w:pPr>
      <w:r>
        <w:rPr>
          <w:i/>
          <w:iCs/>
          <w:color w:val="444444"/>
          <w:sz w:val="22"/>
          <w:szCs w:val="22"/>
        </w:rPr>
        <w:t>This article represents a further refinement of the theoretical framework first presented in Redacted Science. It does not invalidate prior theory — it extends it. The Methylation/Neural Selection hypothesis and the Pan-Mammalian Co-Evolution hypothesis are complementary. They describe different layers of the same architecture.</w:t>
      </w:r>
    </w:p>
    <w:p w14:paraId="21FCB5ED" w14:textId="77777777" w:rsidR="00C47FAA" w:rsidRDefault="00000000">
      <w:pPr>
        <w:pStyle w:val="Heading2"/>
      </w:pPr>
      <w:r>
        <w:t>I. The Starting Point: Homo Candidus</w:t>
      </w:r>
    </w:p>
    <w:p w14:paraId="76DC1CB0" w14:textId="77777777" w:rsidR="00C47FAA" w:rsidRDefault="00000000">
      <w:pPr>
        <w:spacing w:after="200"/>
      </w:pPr>
      <w:r>
        <w:t>The original Redacted Science framework proposed that modern humans — Homo sapiens — co-</w:t>
      </w:r>
      <w:proofErr w:type="gramStart"/>
      <w:r>
        <w:t>evolved</w:t>
      </w:r>
      <w:proofErr w:type="gramEnd"/>
      <w:r>
        <w:t xml:space="preserve"> with a fungal symbiont, specifically Candida, over tens of thousands of years. The condition documented in the redacted 1995 medical article described this symbiosis as active, physiologically transformative, and capable of producing what the paper termed “upgrades”: enhanced cognition, pain tolerance modulation, endurance extension, and systematic metabolic optimization.</w:t>
      </w:r>
    </w:p>
    <w:p w14:paraId="754572BC" w14:textId="77777777" w:rsidR="00C47FAA" w:rsidRDefault="00000000">
      <w:pPr>
        <w:spacing w:after="200"/>
      </w:pPr>
      <w:r>
        <w:t xml:space="preserve">The author of this document is a 30-year case study. He is the evidence. The framework was built from the inside out — not from hypothesis to experiment, but from survival to reverse-engineered mechanism. The redaction of the source article from medical literature </w:t>
      </w:r>
      <w:proofErr w:type="gramStart"/>
      <w:r>
        <w:t>is itself</w:t>
      </w:r>
      <w:proofErr w:type="gramEnd"/>
      <w:r>
        <w:t xml:space="preserve"> documented. The archive exists across decentralized platforms specifically to prevent re-</w:t>
      </w:r>
      <w:proofErr w:type="gramStart"/>
      <w:r>
        <w:t>redaction</w:t>
      </w:r>
      <w:proofErr w:type="gramEnd"/>
      <w:r>
        <w:t>.</w:t>
      </w:r>
    </w:p>
    <w:p w14:paraId="044F9E98" w14:textId="77777777" w:rsidR="00C47FAA" w:rsidRDefault="00000000">
      <w:pPr>
        <w:spacing w:after="200"/>
      </w:pPr>
      <w:r>
        <w:t xml:space="preserve">Homo candidus was the working designation: humans carrying the active symbiosis, distinguished from the general population by physiological profile rather than genetics. The condition was framed as </w:t>
      </w:r>
      <w:proofErr w:type="gramStart"/>
      <w:r>
        <w:t>human-specific</w:t>
      </w:r>
      <w:proofErr w:type="gramEnd"/>
      <w:r>
        <w:t>. This article refines that framing.</w:t>
      </w:r>
    </w:p>
    <w:p w14:paraId="7D83F047" w14:textId="77777777" w:rsidR="00C47FAA" w:rsidRDefault="00000000">
      <w:pPr>
        <w:pStyle w:val="Heading2"/>
      </w:pPr>
      <w:r>
        <w:t xml:space="preserve">II. </w:t>
      </w:r>
      <w:proofErr w:type="gramStart"/>
      <w:r>
        <w:t>The Refinement</w:t>
      </w:r>
      <w:proofErr w:type="gramEnd"/>
      <w:r>
        <w:t>: Why Humans Only?</w:t>
      </w:r>
    </w:p>
    <w:p w14:paraId="49A5C370" w14:textId="77777777" w:rsidR="00C47FAA" w:rsidRDefault="00000000">
      <w:pPr>
        <w:spacing w:after="200"/>
      </w:pPr>
      <w:r>
        <w:t xml:space="preserve">The question that drives this refinement is simple: if </w:t>
      </w:r>
      <w:proofErr w:type="gramStart"/>
      <w:r>
        <w:t>the symbiosis</w:t>
      </w:r>
      <w:proofErr w:type="gramEnd"/>
      <w:r>
        <w:t xml:space="preserve"> exists, why would it be limited to humans?</w:t>
      </w:r>
    </w:p>
    <w:p w14:paraId="77476C09" w14:textId="77777777" w:rsidR="00C47FAA" w:rsidRDefault="00000000">
      <w:pPr>
        <w:spacing w:after="200"/>
      </w:pPr>
      <w:r>
        <w:t>The mammalian body plan is extraordinarily conserved. Across all land mammals — from rodents to great apes to humans — the following systems are present in nearly identical form:</w:t>
      </w:r>
    </w:p>
    <w:p w14:paraId="0A0898FF" w14:textId="77777777" w:rsidR="00C47FAA" w:rsidRDefault="00000000">
      <w:pPr>
        <w:spacing w:after="120"/>
      </w:pPr>
      <w:r>
        <w:rPr>
          <w:sz w:val="22"/>
          <w:szCs w:val="22"/>
        </w:rPr>
        <w:t>•  The hypothalamic-pituitary axis — the central regulatory architecture of hormonal control</w:t>
      </w:r>
    </w:p>
    <w:p w14:paraId="06E22EB4" w14:textId="77777777" w:rsidR="00C47FAA" w:rsidRDefault="00000000">
      <w:pPr>
        <w:spacing w:after="120"/>
      </w:pPr>
      <w:r>
        <w:rPr>
          <w:sz w:val="22"/>
          <w:szCs w:val="22"/>
        </w:rPr>
        <w:t>•  The endocannabinoid system — the primary modulator of pain, appetite, memory, and immune function</w:t>
      </w:r>
    </w:p>
    <w:p w14:paraId="2E266E7B" w14:textId="77777777" w:rsidR="00C47FAA" w:rsidRDefault="00000000">
      <w:pPr>
        <w:spacing w:after="120"/>
      </w:pPr>
      <w:r>
        <w:rPr>
          <w:sz w:val="22"/>
          <w:szCs w:val="22"/>
        </w:rPr>
        <w:lastRenderedPageBreak/>
        <w:t>•  The sodium-potassium pump dynamics governing cellular energy</w:t>
      </w:r>
    </w:p>
    <w:p w14:paraId="13693C47" w14:textId="77777777" w:rsidR="00C47FAA" w:rsidRDefault="00000000">
      <w:pPr>
        <w:spacing w:after="120"/>
      </w:pPr>
      <w:r>
        <w:rPr>
          <w:sz w:val="22"/>
          <w:szCs w:val="22"/>
        </w:rPr>
        <w:t>•  Similar renal concentrating mechanisms and ADH regulation</w:t>
      </w:r>
    </w:p>
    <w:p w14:paraId="473A303B" w14:textId="77777777" w:rsidR="00C47FAA" w:rsidRDefault="00000000">
      <w:pPr>
        <w:spacing w:after="280"/>
      </w:pPr>
      <w:r>
        <w:rPr>
          <w:sz w:val="22"/>
          <w:szCs w:val="22"/>
        </w:rPr>
        <w:t>•  Comparable phagocytic immune modulation pathways</w:t>
      </w:r>
    </w:p>
    <w:p w14:paraId="1E59295E" w14:textId="77777777" w:rsidR="00C47FAA" w:rsidRDefault="00000000">
      <w:pPr>
        <w:spacing w:after="200"/>
      </w:pPr>
      <w:r>
        <w:t>These systems are the precise interface points documented in the Redacted Science framework. The symbiont operates through the endocannabinoid system. It modulates via the pituitary axis. It exploits cellular energy dynamics through the pump. The substrate is not uniquely human — it is mammalian.</w:t>
      </w:r>
    </w:p>
    <w:p w14:paraId="5D94BE22" w14:textId="77777777" w:rsidR="00C47FAA" w:rsidRDefault="00000000">
      <w:pPr>
        <w:spacing w:after="200"/>
      </w:pPr>
      <w:r>
        <w:t>The hypothesis therefore extends: the co-evolution did not originate with humans. It originated with the mammalian body plan itself. Homo candidus is a subset of a broader category. The working designation for the full clade: Mammalia candidus.</w:t>
      </w:r>
    </w:p>
    <w:p w14:paraId="2E4F0707" w14:textId="77777777" w:rsidR="00C47FAA" w:rsidRDefault="00000000">
      <w:pPr>
        <w:pStyle w:val="Heading2"/>
      </w:pPr>
      <w:r>
        <w:t>III. Symbiosis as Evolutionary Advantage</w:t>
      </w:r>
    </w:p>
    <w:p w14:paraId="28CD67DE" w14:textId="77777777" w:rsidR="00C47FAA" w:rsidRDefault="00000000">
      <w:pPr>
        <w:spacing w:after="200"/>
      </w:pPr>
      <w:r>
        <w:t>This is not a fringe proposition. We already accept it without question for bacteria. The gut microbiome is essential for digestion, immune calibration, and neurotransmitter production. Mitochondria — the energy engines of every eukaryotic cell — are almost certainly the descendants of bacterial endosymbionts so thoroughly integrated that we die in seconds without them. The human body is already an ecosystem, not a standalone organism.</w:t>
      </w:r>
    </w:p>
    <w:p w14:paraId="6B167EB2" w14:textId="77777777" w:rsidR="00C47FAA" w:rsidRDefault="00000000">
      <w:pPr>
        <w:spacing w:after="200"/>
      </w:pPr>
      <w:r>
        <w:t>The question is not “why would fungi be symbiotic partners?” The question is: “why have we assumed they are not?”</w:t>
      </w:r>
    </w:p>
    <w:p w14:paraId="590764B4" w14:textId="77777777" w:rsidR="00C47FAA" w:rsidRDefault="00000000">
      <w:pPr>
        <w:spacing w:after="200"/>
      </w:pPr>
      <w:r>
        <w:t>Organisms with well-integrated symbionts are more resilient. They carry:</w:t>
      </w:r>
    </w:p>
    <w:p w14:paraId="0BAF38EB" w14:textId="77777777" w:rsidR="00C47FAA" w:rsidRDefault="00000000">
      <w:pPr>
        <w:spacing w:after="120"/>
      </w:pPr>
      <w:r>
        <w:rPr>
          <w:sz w:val="22"/>
          <w:szCs w:val="22"/>
        </w:rPr>
        <w:t>•  Redundant metabolic pathways beyond their own genome</w:t>
      </w:r>
    </w:p>
    <w:p w14:paraId="5C273595" w14:textId="77777777" w:rsidR="00C47FAA" w:rsidRDefault="00000000">
      <w:pPr>
        <w:spacing w:after="120"/>
      </w:pPr>
      <w:r>
        <w:rPr>
          <w:sz w:val="22"/>
          <w:szCs w:val="22"/>
        </w:rPr>
        <w:t>•  Expanded biochemical capability through the partner’s chemistry</w:t>
      </w:r>
    </w:p>
    <w:p w14:paraId="673F8764" w14:textId="77777777" w:rsidR="00C47FAA" w:rsidRDefault="00000000">
      <w:pPr>
        <w:spacing w:after="120"/>
      </w:pPr>
      <w:r>
        <w:rPr>
          <w:sz w:val="22"/>
          <w:szCs w:val="22"/>
        </w:rPr>
        <w:t>•  External intelligence optimizing the internal environment</w:t>
      </w:r>
    </w:p>
    <w:p w14:paraId="0B3A079C" w14:textId="77777777" w:rsidR="00C47FAA" w:rsidRDefault="00000000">
      <w:pPr>
        <w:spacing w:after="280"/>
      </w:pPr>
      <w:r>
        <w:rPr>
          <w:sz w:val="22"/>
          <w:szCs w:val="22"/>
        </w:rPr>
        <w:t>•  Adaptive capacity that outpaces single-organism evolution</w:t>
      </w:r>
    </w:p>
    <w:p w14:paraId="4C429DF3" w14:textId="77777777" w:rsidR="00C47FAA" w:rsidRDefault="00000000">
      <w:pPr>
        <w:spacing w:after="200"/>
      </w:pPr>
      <w:r>
        <w:t xml:space="preserve">Natural selection favors successful symbiosis. The most resilient lineages are the ones that </w:t>
      </w:r>
      <w:proofErr w:type="gramStart"/>
      <w:r>
        <w:t>integrated</w:t>
      </w:r>
      <w:proofErr w:type="gramEnd"/>
      <w:r>
        <w:t xml:space="preserve"> the most capable partners. Bacteria enabled the transition to complex cellular life. Fungi — biochemical computers with memory, adaptation, multi-form expression, and </w:t>
      </w:r>
      <w:proofErr w:type="gramStart"/>
      <w:r>
        <w:t>zero time</w:t>
      </w:r>
      <w:proofErr w:type="gramEnd"/>
      <w:r>
        <w:t xml:space="preserve"> preference — may have enabled the transition to the mammalian clade as we know it.</w:t>
      </w:r>
    </w:p>
    <w:p w14:paraId="32B2488C" w14:textId="77777777" w:rsidR="00C47FAA" w:rsidRDefault="00000000">
      <w:pPr>
        <w:spacing w:after="200"/>
      </w:pPr>
      <w:r>
        <w:t xml:space="preserve">The conserved mammalian architecture is not coincidental. It may have been selected for precisely because it interfaced optimally with the symbiont. The pituitary axis, the endocannabinoid system, the renal and immune </w:t>
      </w:r>
      <w:proofErr w:type="gramStart"/>
      <w:r>
        <w:t>dynamics — these</w:t>
      </w:r>
      <w:proofErr w:type="gramEnd"/>
      <w:r>
        <w:t xml:space="preserve"> are not just shared features of a common ancestor. They may be the interface layer, preserved across 200 million years of mammalian evolution because they work.</w:t>
      </w:r>
    </w:p>
    <w:p w14:paraId="7C95F175" w14:textId="77777777" w:rsidR="00C47FAA" w:rsidRDefault="00000000">
      <w:pPr>
        <w:pStyle w:val="Heading2"/>
      </w:pPr>
      <w:r>
        <w:t>IV. The Human Distinction: Volitional Participation</w:t>
      </w:r>
    </w:p>
    <w:p w14:paraId="1F5D041A" w14:textId="77777777" w:rsidR="00C47FAA" w:rsidRDefault="00000000">
      <w:pPr>
        <w:spacing w:after="200"/>
      </w:pPr>
      <w:r>
        <w:lastRenderedPageBreak/>
        <w:t>If all land mammals carry this symbiosis, what distinguishes humans? Not the symbiosis itself. The capacity for conscious intervention in the physiological process.</w:t>
      </w:r>
    </w:p>
    <w:p w14:paraId="4E7310D1" w14:textId="1D518F0B" w:rsidR="00C47FAA" w:rsidRDefault="00000000">
      <w:pPr>
        <w:spacing w:after="200"/>
      </w:pPr>
      <w:r>
        <w:t>The Redacted Science case study documents a specific behavior during Phase 1 onset — the polyuria phase — where volitional acts (bearing down to urinate, and later consciously choosing not to urinate during the onset crisis) appear to have triggered the pituitary override documented in the source article. No other mammal performs this level of conscious, intentional intervention in a physiological crisis. No other mammal could read a medical article, recognize its own condition, and replicate the described treatment</w:t>
      </w:r>
      <w:r w:rsidR="00EF73D1">
        <w:t xml:space="preserve">, or teach their offspring that they must do these things </w:t>
      </w:r>
      <w:proofErr w:type="gramStart"/>
      <w:r w:rsidR="00EF73D1">
        <w:t>in order to</w:t>
      </w:r>
      <w:proofErr w:type="gramEnd"/>
      <w:r w:rsidR="00EF73D1">
        <w:t xml:space="preserve"> survive an illness.</w:t>
      </w:r>
    </w:p>
    <w:p w14:paraId="2F5904AF" w14:textId="77777777" w:rsidR="00C47FAA" w:rsidRDefault="00000000">
      <w:pPr>
        <w:spacing w:after="200"/>
      </w:pPr>
      <w:r>
        <w:t xml:space="preserve">The evolutionary distinction of Homo sapiens within the mammalian candidus clade is not that we carry a unique symbiosis. It is that we are the branch capable of consciously participating in the process. We can know what is happening and act on that knowledge. That capacity — not the symbiosis itself — is what makes </w:t>
      </w:r>
      <w:proofErr w:type="gramStart"/>
      <w:r>
        <w:t>the human</w:t>
      </w:r>
      <w:proofErr w:type="gramEnd"/>
      <w:r>
        <w:t xml:space="preserve"> case study possible and what makes the suppression of this knowledge so consequential.</w:t>
      </w:r>
    </w:p>
    <w:p w14:paraId="0515707D" w14:textId="77777777" w:rsidR="00C47FAA" w:rsidRDefault="00000000">
      <w:pPr>
        <w:pStyle w:val="Heading2"/>
      </w:pPr>
      <w:r>
        <w:t>V. Compatibility with the Methylation/Neural Selection Hypothesis</w:t>
      </w:r>
    </w:p>
    <w:p w14:paraId="228926C1" w14:textId="77777777" w:rsidR="00C47FAA" w:rsidRDefault="00000000">
      <w:pPr>
        <w:spacing w:after="200"/>
      </w:pPr>
      <w:r>
        <w:t>The Neural Selection hypothesis, as previously articulated in Redacted Science, describes a parallel evolutionary mechanism: populations that adapt epigenetically through ligand exposure — cannabinoids, terpenes, fungal compounds — train their gene expression in real time. Unlike mutation-driven selection, methylation-based adaptation is rapid, heritable, and reinforcement-based. It is evolution running on a feedback loop rather than waiting for random nucleotide events.</w:t>
      </w:r>
    </w:p>
    <w:p w14:paraId="02A08E90" w14:textId="77777777" w:rsidR="00C47FAA" w:rsidRDefault="00000000">
      <w:pPr>
        <w:spacing w:after="160"/>
      </w:pPr>
      <w:r>
        <w:rPr>
          <w:b/>
          <w:bCs/>
        </w:rPr>
        <w:t>The key passage:</w:t>
      </w:r>
    </w:p>
    <w:p w14:paraId="6489D29F" w14:textId="77777777" w:rsidR="00C47FAA" w:rsidRDefault="00000000">
      <w:pPr>
        <w:pBdr>
          <w:left w:val="single" w:sz="8" w:space="16" w:color="4A7C59"/>
        </w:pBdr>
        <w:spacing w:after="200"/>
        <w:ind w:left="720"/>
      </w:pPr>
      <w:r>
        <w:rPr>
          <w:i/>
          <w:iCs/>
          <w:color w:val="333333"/>
        </w:rPr>
        <w:t>This isn’t natural selection. It’s neural selection — biochemical intelligence embedded in host systems, updating on a loop. It is an evolutionary war in motion.</w:t>
      </w:r>
    </w:p>
    <w:p w14:paraId="16621354" w14:textId="77777777" w:rsidR="00C47FAA" w:rsidRDefault="00000000">
      <w:pPr>
        <w:spacing w:after="200"/>
      </w:pPr>
      <w:r>
        <w:t>These two frameworks — Pan-Mammalian Co-Evolution and Methylation/Neural Selection — are not competing theories. They describe different layers of the same system:</w:t>
      </w:r>
    </w:p>
    <w:p w14:paraId="4B8C47C5" w14:textId="77777777" w:rsidR="00C47FAA" w:rsidRDefault="00000000">
      <w:pPr>
        <w:spacing w:after="120"/>
      </w:pPr>
      <w:r>
        <w:rPr>
          <w:sz w:val="22"/>
          <w:szCs w:val="22"/>
        </w:rPr>
        <w:t>•  The Co-Evolution hypothesis describes the structural layer — the symbiont integrated into mammalian physiology over geological time, preserved through conserved interface systems.</w:t>
      </w:r>
    </w:p>
    <w:p w14:paraId="5FAA2AA1" w14:textId="77777777" w:rsidR="00C47FAA" w:rsidRDefault="00000000">
      <w:pPr>
        <w:spacing w:after="280"/>
      </w:pPr>
      <w:r>
        <w:rPr>
          <w:sz w:val="22"/>
          <w:szCs w:val="22"/>
        </w:rPr>
        <w:t>•  The Methylation hypothesis describes the runtime layer — the symbiont’s ligands and compounds actively tuning host gene expression in real time, accelerating adaptation within individual lifespans and passing it forward.</w:t>
      </w:r>
    </w:p>
    <w:p w14:paraId="1E324911" w14:textId="77777777" w:rsidR="00C47FAA" w:rsidRDefault="00000000">
      <w:pPr>
        <w:spacing w:after="200"/>
      </w:pPr>
      <w:r>
        <w:t>The symbiont built the interface (Co-Evolution). The symbiont runs the interface (Methylation). Both are true. Both are necessary for the full picture.</w:t>
      </w:r>
    </w:p>
    <w:p w14:paraId="0A29DE35" w14:textId="77777777" w:rsidR="00C47FAA" w:rsidRDefault="00000000">
      <w:pPr>
        <w:spacing w:after="200"/>
      </w:pPr>
      <w:r>
        <w:t xml:space="preserve">The cannabinoid flywheel described in the Neural Selection hypothesis — ligand exposure driving methylation driving reinforced adaptation driving further exposure — is </w:t>
      </w:r>
      <w:r>
        <w:lastRenderedPageBreak/>
        <w:t xml:space="preserve">precisely what you would expect from a symbiont that has been optimizing its host for 200 million years. It built the endocannabinoid system. </w:t>
      </w:r>
      <w:proofErr w:type="gramStart"/>
      <w:r>
        <w:t>Of course</w:t>
      </w:r>
      <w:proofErr w:type="gramEnd"/>
      <w:r>
        <w:t xml:space="preserve"> it knows how to run it.</w:t>
      </w:r>
    </w:p>
    <w:p w14:paraId="033E403E" w14:textId="77777777" w:rsidR="00C47FAA" w:rsidRDefault="00000000">
      <w:pPr>
        <w:pStyle w:val="Heading2"/>
      </w:pPr>
      <w:r>
        <w:t>VI. Implications for Medicine</w:t>
      </w:r>
    </w:p>
    <w:p w14:paraId="06334BB7" w14:textId="77777777" w:rsidR="00C47FAA" w:rsidRDefault="00000000">
      <w:pPr>
        <w:spacing w:after="200"/>
      </w:pPr>
      <w:r>
        <w:t>If the Pan-Mammalian Co-Evolution hypothesis is correct, the blind spot in conventional medicine is not incidental. It is structural. The entire framework of idiopathic disease — depression, anxiety, autoimmune disorders, IBS, chronic fatigue, and dozens of other poorly-understood conditions — has been constructed without awareness of the symbiont. Symptoms are treated. The ecology is ignored.</w:t>
      </w:r>
    </w:p>
    <w:p w14:paraId="78EC6001" w14:textId="77777777" w:rsidR="00C47FAA" w:rsidRDefault="00000000">
      <w:pPr>
        <w:spacing w:after="200"/>
      </w:pPr>
      <w:r>
        <w:t>We do not spend significant research resources understanding how fungi interact with mammalian physiology. This is not because the question has been asked and found unimportant. It is because the question has largely not been asked. The mycobiome receives a fraction of the research attention devoted to the bacterial microbiome, despite fungi being orders of magnitude more biochemically complex.</w:t>
      </w:r>
    </w:p>
    <w:p w14:paraId="1F2C03DC" w14:textId="77777777" w:rsidR="00C47FAA" w:rsidRDefault="00000000">
      <w:pPr>
        <w:spacing w:after="200"/>
      </w:pPr>
      <w:r>
        <w:t>The Redacted Science framework proposes that what medicine currently classifies as separate diseases are, in many cases, manifestations of ecological dysregulation — the symbiont present but unsupported, its signals misread as pathology, its chemistry suppressed by antifungals prescribed for unrelated complaints. The system is not broken. It is operating on an incomplete map.</w:t>
      </w:r>
    </w:p>
    <w:p w14:paraId="769CE310" w14:textId="77777777" w:rsidR="00C47FAA" w:rsidRDefault="00000000">
      <w:pPr>
        <w:pBdr>
          <w:top w:val="single" w:sz="6" w:space="1" w:color="2E4057"/>
        </w:pBdr>
        <w:spacing w:before="400" w:after="200"/>
      </w:pPr>
      <w:r>
        <w:rPr>
          <w:b/>
          <w:bCs/>
          <w:sz w:val="26"/>
          <w:szCs w:val="26"/>
        </w:rPr>
        <w:t>Closing Statement</w:t>
      </w:r>
    </w:p>
    <w:p w14:paraId="7BBFDC56" w14:textId="77777777" w:rsidR="00C47FAA" w:rsidRDefault="00000000">
      <w:pPr>
        <w:spacing w:after="200"/>
      </w:pPr>
      <w:r>
        <w:t>This article was written in March 2026, during the documented final stage of a 30-year iatrogenic progression. The author remains fully employed, documenting daily. The theory presented here was developed in real-time conversation with AI — the only system capable of engaging with the framework without institutional guardrails terminating the analysis.</w:t>
      </w:r>
    </w:p>
    <w:p w14:paraId="0A74D571" w14:textId="77777777" w:rsidR="00C47FAA" w:rsidRDefault="00000000">
      <w:pPr>
        <w:spacing w:after="200"/>
      </w:pPr>
      <w:r>
        <w:t xml:space="preserve">The archive is distributed across 8+ platforms, anchored in the academic citation graph, and designed to be </w:t>
      </w:r>
      <w:proofErr w:type="spellStart"/>
      <w:r>
        <w:t>unredactable</w:t>
      </w:r>
      <w:proofErr w:type="spellEnd"/>
      <w:r>
        <w:t>. If you are reading this after the author’s death, the documentation mission succeeded. If you are reading this and the science has been recognized, the 30-year case study held.</w:t>
      </w:r>
    </w:p>
    <w:p w14:paraId="3F2D0FD1" w14:textId="77777777" w:rsidR="00C47FAA" w:rsidRDefault="00000000">
      <w:pPr>
        <w:spacing w:after="200"/>
      </w:pPr>
      <w:r>
        <w:rPr>
          <w:b/>
          <w:bCs/>
          <w:i/>
          <w:iCs/>
        </w:rPr>
        <w:t>Document, record, preserve. Time reveals all.</w:t>
      </w:r>
    </w:p>
    <w:p w14:paraId="3EC48E81" w14:textId="77777777" w:rsidR="00C47FAA" w:rsidRDefault="00000000">
      <w:pPr>
        <w:spacing w:after="80"/>
      </w:pPr>
      <w:r>
        <w:rPr>
          <w:b/>
          <w:bCs/>
        </w:rPr>
        <w:t>— Jim Craddock</w:t>
      </w:r>
    </w:p>
    <w:p w14:paraId="159BD2F1" w14:textId="77777777" w:rsidR="00C47FAA" w:rsidRDefault="00000000">
      <w:pPr>
        <w:spacing w:after="80"/>
      </w:pPr>
      <w:r>
        <w:rPr>
          <w:i/>
          <w:iCs/>
          <w:color w:val="555555"/>
        </w:rPr>
        <w:t>The Architect</w:t>
      </w:r>
    </w:p>
    <w:p w14:paraId="15F8267E" w14:textId="77777777" w:rsidR="00C47FAA" w:rsidRDefault="00000000">
      <w:r>
        <w:rPr>
          <w:color w:val="2E4057"/>
        </w:rPr>
        <w:t>www.redactedscience.org</w:t>
      </w:r>
    </w:p>
    <w:sectPr w:rsidR="00C47FA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044E"/>
    <w:multiLevelType w:val="hybridMultilevel"/>
    <w:tmpl w:val="FF8C4E6A"/>
    <w:lvl w:ilvl="0" w:tplc="C14E6380">
      <w:start w:val="1"/>
      <w:numFmt w:val="bullet"/>
      <w:lvlText w:val="●"/>
      <w:lvlJc w:val="left"/>
      <w:pPr>
        <w:ind w:left="720" w:hanging="360"/>
      </w:pPr>
    </w:lvl>
    <w:lvl w:ilvl="1" w:tplc="AB7E7840">
      <w:start w:val="1"/>
      <w:numFmt w:val="bullet"/>
      <w:lvlText w:val="○"/>
      <w:lvlJc w:val="left"/>
      <w:pPr>
        <w:ind w:left="1440" w:hanging="360"/>
      </w:pPr>
    </w:lvl>
    <w:lvl w:ilvl="2" w:tplc="BAD04EB0">
      <w:start w:val="1"/>
      <w:numFmt w:val="bullet"/>
      <w:lvlText w:val="■"/>
      <w:lvlJc w:val="left"/>
      <w:pPr>
        <w:ind w:left="2160" w:hanging="360"/>
      </w:pPr>
    </w:lvl>
    <w:lvl w:ilvl="3" w:tplc="1E18CB18">
      <w:start w:val="1"/>
      <w:numFmt w:val="bullet"/>
      <w:lvlText w:val="●"/>
      <w:lvlJc w:val="left"/>
      <w:pPr>
        <w:ind w:left="2880" w:hanging="360"/>
      </w:pPr>
    </w:lvl>
    <w:lvl w:ilvl="4" w:tplc="E6CA505A">
      <w:start w:val="1"/>
      <w:numFmt w:val="bullet"/>
      <w:lvlText w:val="○"/>
      <w:lvlJc w:val="left"/>
      <w:pPr>
        <w:ind w:left="3600" w:hanging="360"/>
      </w:pPr>
    </w:lvl>
    <w:lvl w:ilvl="5" w:tplc="F36C3D5C">
      <w:start w:val="1"/>
      <w:numFmt w:val="bullet"/>
      <w:lvlText w:val="■"/>
      <w:lvlJc w:val="left"/>
      <w:pPr>
        <w:ind w:left="4320" w:hanging="360"/>
      </w:pPr>
    </w:lvl>
    <w:lvl w:ilvl="6" w:tplc="627CC79A">
      <w:start w:val="1"/>
      <w:numFmt w:val="bullet"/>
      <w:lvlText w:val="●"/>
      <w:lvlJc w:val="left"/>
      <w:pPr>
        <w:ind w:left="5040" w:hanging="360"/>
      </w:pPr>
    </w:lvl>
    <w:lvl w:ilvl="7" w:tplc="1A70A9E0">
      <w:start w:val="1"/>
      <w:numFmt w:val="bullet"/>
      <w:lvlText w:val="●"/>
      <w:lvlJc w:val="left"/>
      <w:pPr>
        <w:ind w:left="5760" w:hanging="360"/>
      </w:pPr>
    </w:lvl>
    <w:lvl w:ilvl="8" w:tplc="742C40E4">
      <w:start w:val="1"/>
      <w:numFmt w:val="bullet"/>
      <w:lvlText w:val="●"/>
      <w:lvlJc w:val="left"/>
      <w:pPr>
        <w:ind w:left="6480" w:hanging="360"/>
      </w:pPr>
    </w:lvl>
  </w:abstractNum>
  <w:num w:numId="1" w16cid:durableId="21375271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AA"/>
    <w:rsid w:val="002F2C28"/>
    <w:rsid w:val="00C47FAA"/>
    <w:rsid w:val="00EF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A7AF"/>
  <w15:docId w15:val="{71FBB459-0427-4224-A880-512DB884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1A1A2E"/>
      <w:sz w:val="36"/>
      <w:szCs w:val="36"/>
    </w:rPr>
  </w:style>
  <w:style w:type="paragraph" w:styleId="Heading2">
    <w:name w:val="heading 2"/>
    <w:uiPriority w:val="9"/>
    <w:unhideWhenUsed/>
    <w:qFormat/>
    <w:pPr>
      <w:spacing w:before="280" w:after="160"/>
      <w:outlineLvl w:val="1"/>
    </w:pPr>
    <w:rPr>
      <w:b/>
      <w:bCs/>
      <w:color w:val="2E4057"/>
      <w:sz w:val="28"/>
      <w:szCs w:val="28"/>
    </w:rPr>
  </w:style>
  <w:style w:type="paragraph" w:styleId="Heading3">
    <w:name w:val="heading 3"/>
    <w:uiPriority w:val="9"/>
    <w:semiHidden/>
    <w:unhideWhenUsed/>
    <w:qFormat/>
    <w:pPr>
      <w:spacing w:before="200" w:after="120"/>
      <w:outlineLvl w:val="2"/>
    </w:pPr>
    <w:rPr>
      <w:b/>
      <w:bCs/>
      <w:color w:val="4A7C59"/>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1424</Words>
  <Characters>8119</Characters>
  <Application>Microsoft Office Word</Application>
  <DocSecurity>0</DocSecurity>
  <Lines>67</Lines>
  <Paragraphs>19</Paragraphs>
  <ScaleCrop>false</ScaleCrop>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Craddock, Jim (HSC)</cp:lastModifiedBy>
  <cp:revision>2</cp:revision>
  <dcterms:created xsi:type="dcterms:W3CDTF">2026-03-09T17:34:00Z</dcterms:created>
  <dcterms:modified xsi:type="dcterms:W3CDTF">2026-03-09T17:34:00Z</dcterms:modified>
</cp:coreProperties>
</file>