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E7F59"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Redacted Science — Research Roadmap</w:t>
      </w:r>
    </w:p>
    <w:p w14:paraId="3518252B" w14:textId="77777777" w:rsidR="008613B9" w:rsidRPr="008613B9" w:rsidRDefault="008613B9" w:rsidP="008613B9">
      <w:pPr>
        <w:pStyle w:val="PlainText"/>
        <w:rPr>
          <w:rFonts w:ascii="Courier New" w:hAnsi="Courier New" w:cs="Courier New"/>
        </w:rPr>
      </w:pPr>
    </w:p>
    <w:p w14:paraId="7A56A00F"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**Jim Craddock | April 8, 2026**</w:t>
      </w:r>
    </w:p>
    <w:p w14:paraId="68475D8D" w14:textId="77777777" w:rsidR="008613B9" w:rsidRPr="008613B9" w:rsidRDefault="008613B9" w:rsidP="008613B9">
      <w:pPr>
        <w:pStyle w:val="PlainText"/>
        <w:rPr>
          <w:rFonts w:ascii="Courier New" w:hAnsi="Courier New" w:cs="Courier New"/>
        </w:rPr>
      </w:pPr>
    </w:p>
    <w:p w14:paraId="14DCDF0A"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This document outlines the remaining research program for the Redacted Science framework. The foundational papers are published and citable:</w:t>
      </w:r>
    </w:p>
    <w:p w14:paraId="78653CED" w14:textId="77777777" w:rsidR="008613B9" w:rsidRPr="008613B9" w:rsidRDefault="008613B9" w:rsidP="008613B9">
      <w:pPr>
        <w:pStyle w:val="PlainText"/>
        <w:rPr>
          <w:rFonts w:ascii="Courier New" w:hAnsi="Courier New" w:cs="Courier New"/>
        </w:rPr>
      </w:pPr>
    </w:p>
    <w:p w14:paraId="5EDF3613"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**Paper A** — *Candida albicans as a Biochemical Computer*: [</w:t>
      </w:r>
      <w:proofErr w:type="gramStart"/>
      <w:r w:rsidRPr="008613B9">
        <w:rPr>
          <w:rFonts w:ascii="Courier New" w:hAnsi="Courier New" w:cs="Courier New"/>
        </w:rPr>
        <w:t>https://doi.org/10.5281/zenodo.19337525](</w:t>
      </w:r>
      <w:proofErr w:type="gramEnd"/>
      <w:r w:rsidRPr="008613B9">
        <w:rPr>
          <w:rFonts w:ascii="Courier New" w:hAnsi="Courier New" w:cs="Courier New"/>
        </w:rPr>
        <w:t>https://doi.org/10.5281/zenodo.19337525)</w:t>
      </w:r>
    </w:p>
    <w:p w14:paraId="342A58FC"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**Paper B** — *The Saline Oscillation Hypothesis*: [</w:t>
      </w:r>
      <w:proofErr w:type="gramStart"/>
      <w:r w:rsidRPr="008613B9">
        <w:rPr>
          <w:rFonts w:ascii="Courier New" w:hAnsi="Courier New" w:cs="Courier New"/>
        </w:rPr>
        <w:t>https://doi.org/10.5281/zenodo.19369715](</w:t>
      </w:r>
      <w:proofErr w:type="gramEnd"/>
      <w:r w:rsidRPr="008613B9">
        <w:rPr>
          <w:rFonts w:ascii="Courier New" w:hAnsi="Courier New" w:cs="Courier New"/>
        </w:rPr>
        <w:t>https://doi.org/10.5281/zenodo.19369715)</w:t>
      </w:r>
    </w:p>
    <w:p w14:paraId="57A48C78"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**Exposé</w:t>
      </w:r>
      <w:proofErr w:type="gramStart"/>
      <w:r w:rsidRPr="008613B9">
        <w:rPr>
          <w:rFonts w:ascii="Courier New" w:hAnsi="Courier New" w:cs="Courier New"/>
        </w:rPr>
        <w:t>** —</w:t>
      </w:r>
      <w:proofErr w:type="gramEnd"/>
      <w:r w:rsidRPr="008613B9">
        <w:rPr>
          <w:rFonts w:ascii="Courier New" w:hAnsi="Courier New" w:cs="Courier New"/>
        </w:rPr>
        <w:t xml:space="preserve"> *"They Looked. They Were Right. They Were Destroyed."*: [</w:t>
      </w:r>
      <w:proofErr w:type="gramStart"/>
      <w:r w:rsidRPr="008613B9">
        <w:rPr>
          <w:rFonts w:ascii="Courier New" w:hAnsi="Courier New" w:cs="Courier New"/>
        </w:rPr>
        <w:t>https://doi.org/10.5281/zenodo.19393803](</w:t>
      </w:r>
      <w:proofErr w:type="gramEnd"/>
      <w:r w:rsidRPr="008613B9">
        <w:rPr>
          <w:rFonts w:ascii="Courier New" w:hAnsi="Courier New" w:cs="Courier New"/>
        </w:rPr>
        <w:t>https://doi.org/10.5281/zenodo.19393803)</w:t>
      </w:r>
    </w:p>
    <w:p w14:paraId="5EADB806"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**Focal Infections 2.0**: [</w:t>
      </w:r>
      <w:proofErr w:type="gramStart"/>
      <w:r w:rsidRPr="008613B9">
        <w:rPr>
          <w:rFonts w:ascii="Courier New" w:hAnsi="Courier New" w:cs="Courier New"/>
        </w:rPr>
        <w:t>https://doi.org/10.5281/zenodo.19423069](</w:t>
      </w:r>
      <w:proofErr w:type="gramEnd"/>
      <w:r w:rsidRPr="008613B9">
        <w:rPr>
          <w:rFonts w:ascii="Courier New" w:hAnsi="Courier New" w:cs="Courier New"/>
        </w:rPr>
        <w:t>https://doi.org/10.5281/zenodo.19423069)</w:t>
      </w:r>
    </w:p>
    <w:p w14:paraId="4979B59D" w14:textId="77777777" w:rsidR="008613B9" w:rsidRPr="008613B9" w:rsidRDefault="008613B9" w:rsidP="008613B9">
      <w:pPr>
        <w:pStyle w:val="PlainText"/>
        <w:rPr>
          <w:rFonts w:ascii="Courier New" w:hAnsi="Courier New" w:cs="Courier New"/>
        </w:rPr>
      </w:pPr>
    </w:p>
    <w:p w14:paraId="5D393667"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What follows is the work that remains. Each item builds on the published foundation. Anyone continuing this work should read Paper A first — it establishes the core architecture. Paper B extends that architecture across evolutionary time.</w:t>
      </w:r>
    </w:p>
    <w:p w14:paraId="76E8FC9C" w14:textId="77777777" w:rsidR="008613B9" w:rsidRPr="008613B9" w:rsidRDefault="008613B9" w:rsidP="008613B9">
      <w:pPr>
        <w:pStyle w:val="PlainText"/>
        <w:rPr>
          <w:rFonts w:ascii="Courier New" w:hAnsi="Courier New" w:cs="Courier New"/>
        </w:rPr>
      </w:pPr>
    </w:p>
    <w:p w14:paraId="632FDBCA"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w:t>
      </w:r>
    </w:p>
    <w:p w14:paraId="3E0FBC9C" w14:textId="77777777" w:rsidR="008613B9" w:rsidRPr="008613B9" w:rsidRDefault="008613B9" w:rsidP="008613B9">
      <w:pPr>
        <w:pStyle w:val="PlainText"/>
        <w:rPr>
          <w:rFonts w:ascii="Courier New" w:hAnsi="Courier New" w:cs="Courier New"/>
        </w:rPr>
      </w:pPr>
    </w:p>
    <w:p w14:paraId="7CC3798B"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1. Christoph Thaiss Outreach</w:t>
      </w:r>
    </w:p>
    <w:p w14:paraId="721AD7A2" w14:textId="77777777" w:rsidR="008613B9" w:rsidRPr="008613B9" w:rsidRDefault="008613B9" w:rsidP="008613B9">
      <w:pPr>
        <w:pStyle w:val="PlainText"/>
        <w:rPr>
          <w:rFonts w:ascii="Courier New" w:hAnsi="Courier New" w:cs="Courier New"/>
        </w:rPr>
      </w:pPr>
    </w:p>
    <w:p w14:paraId="0ACF51B9"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xml:space="preserve">Thaiss (Arc Institute / Stanford) published work showing *Parabacteroides </w:t>
      </w:r>
      <w:proofErr w:type="spellStart"/>
      <w:r w:rsidRPr="008613B9">
        <w:rPr>
          <w:rFonts w:ascii="Courier New" w:hAnsi="Courier New" w:cs="Courier New"/>
        </w:rPr>
        <w:t>goldsteinii</w:t>
      </w:r>
      <w:proofErr w:type="spellEnd"/>
      <w:r w:rsidRPr="008613B9">
        <w:rPr>
          <w:rFonts w:ascii="Courier New" w:hAnsi="Courier New" w:cs="Courier New"/>
        </w:rPr>
        <w:t xml:space="preserve">* produces medium-chain fatty acids that activate GPR84 on the </w:t>
      </w:r>
      <w:proofErr w:type="spellStart"/>
      <w:r w:rsidRPr="008613B9">
        <w:rPr>
          <w:rFonts w:ascii="Courier New" w:hAnsi="Courier New" w:cs="Courier New"/>
        </w:rPr>
        <w:t>vagus</w:t>
      </w:r>
      <w:proofErr w:type="spellEnd"/>
      <w:r w:rsidRPr="008613B9">
        <w:rPr>
          <w:rFonts w:ascii="Courier New" w:hAnsi="Courier New" w:cs="Courier New"/>
        </w:rPr>
        <w:t xml:space="preserve"> nerve, causing memory loss. Under the Redacted Science framework, this is not an independent finding — it is a downstream consequence of *C. albicans* managing its gut microbiome toolkit. The organism curates its bacterial environment. Thaiss's data fits directly into the framework's prediction that the symbiont manages host cognition through intermediary microbial populations. An email under 300 words pointing to both </w:t>
      </w:r>
      <w:proofErr w:type="spellStart"/>
      <w:r w:rsidRPr="008613B9">
        <w:rPr>
          <w:rFonts w:ascii="Courier New" w:hAnsi="Courier New" w:cs="Courier New"/>
        </w:rPr>
        <w:t>Zenodo</w:t>
      </w:r>
      <w:proofErr w:type="spellEnd"/>
      <w:r w:rsidRPr="008613B9">
        <w:rPr>
          <w:rFonts w:ascii="Courier New" w:hAnsi="Courier New" w:cs="Courier New"/>
        </w:rPr>
        <w:t xml:space="preserve"> DOIs is drafted and ready to send.</w:t>
      </w:r>
    </w:p>
    <w:p w14:paraId="4E7EE106" w14:textId="77777777" w:rsidR="008613B9" w:rsidRPr="008613B9" w:rsidRDefault="008613B9" w:rsidP="008613B9">
      <w:pPr>
        <w:pStyle w:val="PlainText"/>
        <w:rPr>
          <w:rFonts w:ascii="Courier New" w:hAnsi="Courier New" w:cs="Courier New"/>
        </w:rPr>
      </w:pPr>
    </w:p>
    <w:p w14:paraId="748B9392"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2. Outreach to Brian Hie (completed)</w:t>
      </w:r>
    </w:p>
    <w:p w14:paraId="29A93390" w14:textId="77777777" w:rsidR="008613B9" w:rsidRPr="008613B9" w:rsidRDefault="008613B9" w:rsidP="008613B9">
      <w:pPr>
        <w:pStyle w:val="PlainText"/>
        <w:rPr>
          <w:rFonts w:ascii="Courier New" w:hAnsi="Courier New" w:cs="Courier New"/>
        </w:rPr>
      </w:pPr>
    </w:p>
    <w:p w14:paraId="5B2BE7F6"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xml:space="preserve">Hie's Evo 2 model at the Arc Institute </w:t>
      </w:r>
      <w:proofErr w:type="gramStart"/>
      <w:r w:rsidRPr="008613B9">
        <w:rPr>
          <w:rFonts w:ascii="Courier New" w:hAnsi="Courier New" w:cs="Courier New"/>
        </w:rPr>
        <w:t>is capable of analyzing</w:t>
      </w:r>
      <w:proofErr w:type="gramEnd"/>
      <w:r w:rsidRPr="008613B9">
        <w:rPr>
          <w:rFonts w:ascii="Courier New" w:hAnsi="Courier New" w:cs="Courier New"/>
        </w:rPr>
        <w:t xml:space="preserve"> the approximately 1,300 orphan genes in *C. </w:t>
      </w:r>
      <w:proofErr w:type="gramStart"/>
      <w:r w:rsidRPr="008613B9">
        <w:rPr>
          <w:rFonts w:ascii="Courier New" w:hAnsi="Courier New" w:cs="Courier New"/>
        </w:rPr>
        <w:t>albicans* —</w:t>
      </w:r>
      <w:proofErr w:type="gramEnd"/>
      <w:r w:rsidRPr="008613B9">
        <w:rPr>
          <w:rFonts w:ascii="Courier New" w:hAnsi="Courier New" w:cs="Courier New"/>
        </w:rPr>
        <w:t xml:space="preserve"> genes with no known homologs. Paper A Prediction 1 states these genes encode the organism's computational architecture. This email has been sent.</w:t>
      </w:r>
    </w:p>
    <w:p w14:paraId="3E6EC19A" w14:textId="77777777" w:rsidR="008613B9" w:rsidRPr="008613B9" w:rsidRDefault="008613B9" w:rsidP="008613B9">
      <w:pPr>
        <w:pStyle w:val="PlainText"/>
        <w:rPr>
          <w:rFonts w:ascii="Courier New" w:hAnsi="Courier New" w:cs="Courier New"/>
        </w:rPr>
      </w:pPr>
    </w:p>
    <w:p w14:paraId="3A0606BD"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3. First and Second Phase Transition Case Studies</w:t>
      </w:r>
    </w:p>
    <w:p w14:paraId="143D59AE" w14:textId="77777777" w:rsidR="008613B9" w:rsidRPr="008613B9" w:rsidRDefault="008613B9" w:rsidP="008613B9">
      <w:pPr>
        <w:pStyle w:val="PlainText"/>
        <w:rPr>
          <w:rFonts w:ascii="Courier New" w:hAnsi="Courier New" w:cs="Courier New"/>
        </w:rPr>
      </w:pPr>
    </w:p>
    <w:p w14:paraId="10A61399"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xml:space="preserve">The framework describes three distinct transition phases in the organism's long-term host management program. The third transition is partially documented. Case studies for the first and second transitions need to be written, drawing on approximately 30 years of longitudinal personal data. These transitions are observable in retrospect as </w:t>
      </w:r>
      <w:r w:rsidRPr="008613B9">
        <w:rPr>
          <w:rFonts w:ascii="Courier New" w:hAnsi="Courier New" w:cs="Courier New"/>
        </w:rPr>
        <w:lastRenderedPageBreak/>
        <w:t>coordinated shifts in metabolism, cognition, cravings, and physiological markers — not random symptom clusters.</w:t>
      </w:r>
    </w:p>
    <w:p w14:paraId="4E4A8E93" w14:textId="77777777" w:rsidR="008613B9" w:rsidRPr="008613B9" w:rsidRDefault="008613B9" w:rsidP="008613B9">
      <w:pPr>
        <w:pStyle w:val="PlainText"/>
        <w:rPr>
          <w:rFonts w:ascii="Courier New" w:hAnsi="Courier New" w:cs="Courier New"/>
        </w:rPr>
      </w:pPr>
    </w:p>
    <w:p w14:paraId="1D4C8DDF"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4. Third Transition Case Study Extension — Urinary Salts</w:t>
      </w:r>
    </w:p>
    <w:p w14:paraId="1CEB7024" w14:textId="77777777" w:rsidR="008613B9" w:rsidRPr="008613B9" w:rsidRDefault="008613B9" w:rsidP="008613B9">
      <w:pPr>
        <w:pStyle w:val="PlainText"/>
        <w:rPr>
          <w:rFonts w:ascii="Courier New" w:hAnsi="Courier New" w:cs="Courier New"/>
        </w:rPr>
      </w:pPr>
    </w:p>
    <w:p w14:paraId="0F39DD89"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During the third transition, urinary salt composition changes detectably. The extension investigates why routine urinary salt measurement was abandoned in clinical practice. If the organism's metabolic program produces a characteristic salt signature at each phase, dropping that measurement from standard panels eliminated one of the simplest diagnostic windows into colonization status.</w:t>
      </w:r>
    </w:p>
    <w:p w14:paraId="39F49D0C" w14:textId="77777777" w:rsidR="008613B9" w:rsidRPr="008613B9" w:rsidRDefault="008613B9" w:rsidP="008613B9">
      <w:pPr>
        <w:pStyle w:val="PlainText"/>
        <w:rPr>
          <w:rFonts w:ascii="Courier New" w:hAnsi="Courier New" w:cs="Courier New"/>
        </w:rPr>
      </w:pPr>
    </w:p>
    <w:p w14:paraId="7839ABC0"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5. Tearing Up Without Warning — Mechanism</w:t>
      </w:r>
    </w:p>
    <w:p w14:paraId="577ECF26" w14:textId="77777777" w:rsidR="008613B9" w:rsidRPr="008613B9" w:rsidRDefault="008613B9" w:rsidP="008613B9">
      <w:pPr>
        <w:pStyle w:val="PlainText"/>
        <w:rPr>
          <w:rFonts w:ascii="Courier New" w:hAnsi="Courier New" w:cs="Courier New"/>
        </w:rPr>
      </w:pPr>
    </w:p>
    <w:p w14:paraId="36DDBBF2"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xml:space="preserve">The framework predicts that the organism's management of the pituitary and downstream hormonal cascades can produce involuntary lacrimation — tearing up without emotional cause. This item investigates the specific mechanism: which hormonal or neurotransmitter pathway, when perturbed by organism activity, lowers the threshold for tear production? This is a clinically observable phenomenon that patients </w:t>
      </w:r>
      <w:proofErr w:type="gramStart"/>
      <w:r w:rsidRPr="008613B9">
        <w:rPr>
          <w:rFonts w:ascii="Courier New" w:hAnsi="Courier New" w:cs="Courier New"/>
        </w:rPr>
        <w:t>report</w:t>
      </w:r>
      <w:proofErr w:type="gramEnd"/>
      <w:r w:rsidRPr="008613B9">
        <w:rPr>
          <w:rFonts w:ascii="Courier New" w:hAnsi="Courier New" w:cs="Courier New"/>
        </w:rPr>
        <w:t xml:space="preserve"> and physicians currently have no explanation for.</w:t>
      </w:r>
    </w:p>
    <w:p w14:paraId="73801644" w14:textId="77777777" w:rsidR="008613B9" w:rsidRPr="008613B9" w:rsidRDefault="008613B9" w:rsidP="008613B9">
      <w:pPr>
        <w:pStyle w:val="PlainText"/>
        <w:rPr>
          <w:rFonts w:ascii="Courier New" w:hAnsi="Courier New" w:cs="Courier New"/>
        </w:rPr>
      </w:pPr>
    </w:p>
    <w:p w14:paraId="13E3295D"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6. Pituitary Cluster — Microadenoma, Breakoff, and Colonization Model</w:t>
      </w:r>
    </w:p>
    <w:p w14:paraId="0CB6959A" w14:textId="77777777" w:rsidR="008613B9" w:rsidRPr="008613B9" w:rsidRDefault="008613B9" w:rsidP="008613B9">
      <w:pPr>
        <w:pStyle w:val="PlainText"/>
        <w:rPr>
          <w:rFonts w:ascii="Courier New" w:hAnsi="Courier New" w:cs="Courier New"/>
        </w:rPr>
      </w:pPr>
    </w:p>
    <w:p w14:paraId="5395ECFE"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xml:space="preserve">This is the centerpiece. The </w:t>
      </w:r>
      <w:proofErr w:type="spellStart"/>
      <w:r w:rsidRPr="008613B9">
        <w:rPr>
          <w:rFonts w:ascii="Courier New" w:hAnsi="Courier New" w:cs="Courier New"/>
        </w:rPr>
        <w:t>sella</w:t>
      </w:r>
      <w:proofErr w:type="spellEnd"/>
      <w:r w:rsidRPr="008613B9">
        <w:rPr>
          <w:rFonts w:ascii="Courier New" w:hAnsi="Courier New" w:cs="Courier New"/>
        </w:rPr>
        <w:t xml:space="preserve"> turcica sits outside the blood-brain barrier. The framework proposes that *C. albicans* </w:t>
      </w:r>
      <w:proofErr w:type="gramStart"/>
      <w:r w:rsidRPr="008613B9">
        <w:rPr>
          <w:rFonts w:ascii="Courier New" w:hAnsi="Courier New" w:cs="Courier New"/>
        </w:rPr>
        <w:t>conducts</w:t>
      </w:r>
      <w:proofErr w:type="gramEnd"/>
      <w:r w:rsidRPr="008613B9">
        <w:rPr>
          <w:rFonts w:ascii="Courier New" w:hAnsi="Courier New" w:cs="Courier New"/>
        </w:rPr>
        <w:t xml:space="preserve"> directed hyphal transit to the pituitary, colonizes it, and builds a microadenoma as its management interface. From this position, it modulates ACTH, cortisol, ADH, and MSH output.</w:t>
      </w:r>
    </w:p>
    <w:p w14:paraId="39B1A105" w14:textId="77777777" w:rsidR="008613B9" w:rsidRPr="008613B9" w:rsidRDefault="008613B9" w:rsidP="008613B9">
      <w:pPr>
        <w:pStyle w:val="PlainText"/>
        <w:rPr>
          <w:rFonts w:ascii="Courier New" w:hAnsi="Courier New" w:cs="Courier New"/>
        </w:rPr>
      </w:pPr>
    </w:p>
    <w:p w14:paraId="6E7B0100"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xml:space="preserve">Two modes of pituitary transition are proposed: governance (ongoing managed modulation) and terminal consumption (crisis </w:t>
      </w:r>
      <w:proofErr w:type="gramStart"/>
      <w:r w:rsidRPr="008613B9">
        <w:rPr>
          <w:rFonts w:ascii="Courier New" w:hAnsi="Courier New" w:cs="Courier New"/>
        </w:rPr>
        <w:t>mobilization — "</w:t>
      </w:r>
      <w:proofErr w:type="gramEnd"/>
      <w:r w:rsidRPr="008613B9">
        <w:rPr>
          <w:rFonts w:ascii="Courier New" w:hAnsi="Courier New" w:cs="Courier New"/>
        </w:rPr>
        <w:t>damn the torpedoes"). The critical clinical question is what happens when a microadenoma breaks off. Under the framework, this is the dividing line between *Homo candidus* (symbiont-managed) and *Homo sapiens* (unmanaged or post-breakoff). The difference should be clinically testable.</w:t>
      </w:r>
    </w:p>
    <w:p w14:paraId="7FE24213" w14:textId="77777777" w:rsidR="008613B9" w:rsidRPr="008613B9" w:rsidRDefault="008613B9" w:rsidP="008613B9">
      <w:pPr>
        <w:pStyle w:val="PlainText"/>
        <w:rPr>
          <w:rFonts w:ascii="Courier New" w:hAnsi="Courier New" w:cs="Courier New"/>
        </w:rPr>
      </w:pPr>
    </w:p>
    <w:p w14:paraId="260DD475"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Open gaps: the intermediary pathway from systemic electrolyte changes to synaptic Mg²</w:t>
      </w:r>
      <w:r w:rsidRPr="008613B9">
        <w:rPr>
          <w:rFonts w:ascii="Cambria Math" w:hAnsi="Cambria Math" w:cs="Cambria Math"/>
        </w:rPr>
        <w:t>⁺</w:t>
      </w:r>
      <w:r w:rsidRPr="008613B9">
        <w:rPr>
          <w:rFonts w:ascii="Courier New" w:hAnsi="Courier New" w:cs="Courier New"/>
        </w:rPr>
        <w:t xml:space="preserve"> concentration at NMDA gates; venous anatomy mapping for hyphal transit routes; and *C. albicans* vascular tropism literature.</w:t>
      </w:r>
    </w:p>
    <w:p w14:paraId="7B9C4239" w14:textId="77777777" w:rsidR="008613B9" w:rsidRPr="008613B9" w:rsidRDefault="008613B9" w:rsidP="008613B9">
      <w:pPr>
        <w:pStyle w:val="PlainText"/>
        <w:rPr>
          <w:rFonts w:ascii="Courier New" w:hAnsi="Courier New" w:cs="Courier New"/>
        </w:rPr>
      </w:pPr>
    </w:p>
    <w:p w14:paraId="34A58DFA"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The silent synapse connection (Harnett lab 2022, cAMP activation route 2024) provides the CNS access pathway — the organism can activate silent synapses via cAMP without requiring direct neural contact.</w:t>
      </w:r>
    </w:p>
    <w:p w14:paraId="4E4480AB" w14:textId="77777777" w:rsidR="008613B9" w:rsidRPr="008613B9" w:rsidRDefault="008613B9" w:rsidP="008613B9">
      <w:pPr>
        <w:pStyle w:val="PlainText"/>
        <w:rPr>
          <w:rFonts w:ascii="Courier New" w:hAnsi="Courier New" w:cs="Courier New"/>
        </w:rPr>
      </w:pPr>
    </w:p>
    <w:p w14:paraId="3508F996"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7. Esophageal Shutdown Mechanism — Case Study</w:t>
      </w:r>
    </w:p>
    <w:p w14:paraId="345BC4B0" w14:textId="77777777" w:rsidR="008613B9" w:rsidRPr="008613B9" w:rsidRDefault="008613B9" w:rsidP="008613B9">
      <w:pPr>
        <w:pStyle w:val="PlainText"/>
        <w:rPr>
          <w:rFonts w:ascii="Courier New" w:hAnsi="Courier New" w:cs="Courier New"/>
        </w:rPr>
      </w:pPr>
    </w:p>
    <w:p w14:paraId="3F955B92"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In November 2022, a documented event sequence occurred: localized variceal inflammation (PGE</w:t>
      </w:r>
      <w:r w:rsidRPr="008613B9">
        <w:rPr>
          <w:rFonts w:ascii="Cambria Math" w:hAnsi="Cambria Math" w:cs="Cambria Math"/>
        </w:rPr>
        <w:t>₂</w:t>
      </w:r>
      <w:r w:rsidRPr="008613B9">
        <w:rPr>
          <w:rFonts w:ascii="Courier New" w:hAnsi="Courier New" w:cs="Courier New"/>
        </w:rPr>
        <w:t xml:space="preserve"> + mast cell degranulation + </w:t>
      </w:r>
      <w:proofErr w:type="spellStart"/>
      <w:r w:rsidRPr="008613B9">
        <w:rPr>
          <w:rFonts w:ascii="Courier New" w:hAnsi="Courier New" w:cs="Courier New"/>
        </w:rPr>
        <w:t>candidalysin</w:t>
      </w:r>
      <w:proofErr w:type="spellEnd"/>
      <w:r w:rsidRPr="008613B9">
        <w:rPr>
          <w:rFonts w:ascii="Courier New" w:hAnsi="Courier New" w:cs="Courier New"/>
        </w:rPr>
        <w:t xml:space="preserve">) caused swallowing to stop. The gut emptied. The intestinal wall became the primary substrate. Inflammation </w:t>
      </w:r>
      <w:proofErr w:type="gramStart"/>
      <w:r w:rsidRPr="008613B9">
        <w:rPr>
          <w:rFonts w:ascii="Courier New" w:hAnsi="Courier New" w:cs="Courier New"/>
        </w:rPr>
        <w:t>resolved</w:t>
      </w:r>
      <w:proofErr w:type="gramEnd"/>
      <w:r w:rsidRPr="008613B9">
        <w:rPr>
          <w:rFonts w:ascii="Courier New" w:hAnsi="Courier New" w:cs="Courier New"/>
        </w:rPr>
        <w:t>. An EGD found nothing. Each step in this sequence uses capabilities documented in Paper A §5. This case study pairs with a substrate progression table mapping the organ-by-organ failure sequence from longitudinal records.</w:t>
      </w:r>
    </w:p>
    <w:p w14:paraId="5FE6BC64" w14:textId="77777777" w:rsidR="008613B9" w:rsidRPr="008613B9" w:rsidRDefault="008613B9" w:rsidP="008613B9">
      <w:pPr>
        <w:pStyle w:val="PlainText"/>
        <w:rPr>
          <w:rFonts w:ascii="Courier New" w:hAnsi="Courier New" w:cs="Courier New"/>
        </w:rPr>
      </w:pPr>
    </w:p>
    <w:p w14:paraId="31D625B1"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8. Melanin and Pigmentation — Paper C</w:t>
      </w:r>
    </w:p>
    <w:p w14:paraId="7F70B736" w14:textId="77777777" w:rsidR="008613B9" w:rsidRPr="008613B9" w:rsidRDefault="008613B9" w:rsidP="008613B9">
      <w:pPr>
        <w:pStyle w:val="PlainText"/>
        <w:rPr>
          <w:rFonts w:ascii="Courier New" w:hAnsi="Courier New" w:cs="Courier New"/>
        </w:rPr>
      </w:pPr>
    </w:p>
    <w:p w14:paraId="22319080"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POMC is cleaved into ACTH and MSH at the pituitary. If the organism drives pituitary overdrive, MSH elevation is a byproduct — producing darker pigmentation independent of UV exposure. The organism also drives melanin locally via PGE</w:t>
      </w:r>
      <w:r w:rsidRPr="008613B9">
        <w:rPr>
          <w:rFonts w:ascii="Cambria Math" w:hAnsi="Cambria Math" w:cs="Cambria Math"/>
        </w:rPr>
        <w:t>₂</w:t>
      </w:r>
      <w:r w:rsidRPr="008613B9">
        <w:rPr>
          <w:rFonts w:ascii="Courier New" w:hAnsi="Courier New" w:cs="Courier New"/>
        </w:rPr>
        <w:t xml:space="preserve"> and TLR4 melanocyte activation (Tapia 2014, already in Paper A §5.5e). This explains the ER phenomenon of a patient in crisis presenting with "good </w:t>
      </w:r>
      <w:proofErr w:type="gramStart"/>
      <w:r w:rsidRPr="008613B9">
        <w:rPr>
          <w:rFonts w:ascii="Courier New" w:hAnsi="Courier New" w:cs="Courier New"/>
        </w:rPr>
        <w:t>coloring" —</w:t>
      </w:r>
      <w:proofErr w:type="gramEnd"/>
      <w:r w:rsidRPr="008613B9">
        <w:rPr>
          <w:rFonts w:ascii="Courier New" w:hAnsi="Courier New" w:cs="Courier New"/>
        </w:rPr>
        <w:t xml:space="preserve"> the pigmentation masks the underlying state.</w:t>
      </w:r>
    </w:p>
    <w:p w14:paraId="628137F8" w14:textId="77777777" w:rsidR="008613B9" w:rsidRPr="008613B9" w:rsidRDefault="008613B9" w:rsidP="008613B9">
      <w:pPr>
        <w:pStyle w:val="PlainText"/>
        <w:rPr>
          <w:rFonts w:ascii="Courier New" w:hAnsi="Courier New" w:cs="Courier New"/>
        </w:rPr>
      </w:pPr>
    </w:p>
    <w:p w14:paraId="124D0B26"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Population-level prediction: colonization density correlates with pigmentation beyond what UV exposure models predict. The saline oscillation hypothesis adds another pigmentation dimension across evolutionary time.</w:t>
      </w:r>
    </w:p>
    <w:p w14:paraId="30B1736B" w14:textId="77777777" w:rsidR="008613B9" w:rsidRPr="008613B9" w:rsidRDefault="008613B9" w:rsidP="008613B9">
      <w:pPr>
        <w:pStyle w:val="PlainText"/>
        <w:rPr>
          <w:rFonts w:ascii="Courier New" w:hAnsi="Courier New" w:cs="Courier New"/>
        </w:rPr>
      </w:pPr>
    </w:p>
    <w:p w14:paraId="22A595B5"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9. Document D — Common Substances and the Biochemical Computer</w:t>
      </w:r>
    </w:p>
    <w:p w14:paraId="456CFF52" w14:textId="77777777" w:rsidR="008613B9" w:rsidRPr="008613B9" w:rsidRDefault="008613B9" w:rsidP="008613B9">
      <w:pPr>
        <w:pStyle w:val="PlainText"/>
        <w:rPr>
          <w:rFonts w:ascii="Courier New" w:hAnsi="Courier New" w:cs="Courier New"/>
        </w:rPr>
      </w:pPr>
    </w:p>
    <w:p w14:paraId="018BB9F8"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How common environmental and dietary substances interact with the organism's computational architecture. First substance: glyphosate, which disrupts the shikimate pathway — a pathway *C. albicans* uses for tryptophan and substrate supply. Paired with dicamba, a synthetic auxin mimic that may trigger hyphal transition and quorum sensing at gut concentrations. Additional substances to be identified.</w:t>
      </w:r>
    </w:p>
    <w:p w14:paraId="686A1604" w14:textId="77777777" w:rsidR="008613B9" w:rsidRPr="008613B9" w:rsidRDefault="008613B9" w:rsidP="008613B9">
      <w:pPr>
        <w:pStyle w:val="PlainText"/>
        <w:rPr>
          <w:rFonts w:ascii="Courier New" w:hAnsi="Courier New" w:cs="Courier New"/>
        </w:rPr>
      </w:pPr>
    </w:p>
    <w:p w14:paraId="48DB76C3"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10. Homo Candidus Timeline — "Why This Matters"</w:t>
      </w:r>
    </w:p>
    <w:p w14:paraId="2667FDF1" w14:textId="77777777" w:rsidR="008613B9" w:rsidRPr="008613B9" w:rsidRDefault="008613B9" w:rsidP="008613B9">
      <w:pPr>
        <w:pStyle w:val="PlainText"/>
        <w:rPr>
          <w:rFonts w:ascii="Courier New" w:hAnsi="Courier New" w:cs="Courier New"/>
        </w:rPr>
      </w:pPr>
    </w:p>
    <w:p w14:paraId="7E85DDFD"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xml:space="preserve">The summary document for anyone </w:t>
      </w:r>
      <w:proofErr w:type="gramStart"/>
      <w:r w:rsidRPr="008613B9">
        <w:rPr>
          <w:rFonts w:ascii="Courier New" w:hAnsi="Courier New" w:cs="Courier New"/>
        </w:rPr>
        <w:t>asking</w:t>
      </w:r>
      <w:proofErr w:type="gramEnd"/>
      <w:r w:rsidRPr="008613B9">
        <w:rPr>
          <w:rFonts w:ascii="Courier New" w:hAnsi="Courier New" w:cs="Courier New"/>
        </w:rPr>
        <w:t xml:space="preserve"> "so what?" Contents: (1) grouped list of top current medical comorbidities that potentially resolve under the framework, organized by category (bacterial infections, autoimmune, metabolic, neurological); (2) estimated current spending per category; (3) mortality data; (4) risks; (5) how medicine would fundamentally change. This is </w:t>
      </w:r>
      <w:proofErr w:type="gramStart"/>
      <w:r w:rsidRPr="008613B9">
        <w:rPr>
          <w:rFonts w:ascii="Courier New" w:hAnsi="Courier New" w:cs="Courier New"/>
        </w:rPr>
        <w:t>the</w:t>
      </w:r>
      <w:proofErr w:type="gramEnd"/>
      <w:r w:rsidRPr="008613B9">
        <w:rPr>
          <w:rFonts w:ascii="Courier New" w:hAnsi="Courier New" w:cs="Courier New"/>
        </w:rPr>
        <w:t xml:space="preserve"> document that translates </w:t>
      </w:r>
      <w:proofErr w:type="gramStart"/>
      <w:r w:rsidRPr="008613B9">
        <w:rPr>
          <w:rFonts w:ascii="Courier New" w:hAnsi="Courier New" w:cs="Courier New"/>
        </w:rPr>
        <w:t>the science</w:t>
      </w:r>
      <w:proofErr w:type="gramEnd"/>
      <w:r w:rsidRPr="008613B9">
        <w:rPr>
          <w:rFonts w:ascii="Courier New" w:hAnsi="Courier New" w:cs="Courier New"/>
        </w:rPr>
        <w:t xml:space="preserve"> into policy and clinical implications.</w:t>
      </w:r>
    </w:p>
    <w:p w14:paraId="70A23223" w14:textId="77777777" w:rsidR="008613B9" w:rsidRPr="008613B9" w:rsidRDefault="008613B9" w:rsidP="008613B9">
      <w:pPr>
        <w:pStyle w:val="PlainText"/>
        <w:rPr>
          <w:rFonts w:ascii="Courier New" w:hAnsi="Courier New" w:cs="Courier New"/>
        </w:rPr>
      </w:pPr>
    </w:p>
    <w:p w14:paraId="196A530A"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11. Chat with the Compiler — Homo Candidus</w:t>
      </w:r>
    </w:p>
    <w:p w14:paraId="1F0076E2" w14:textId="77777777" w:rsidR="008613B9" w:rsidRPr="008613B9" w:rsidRDefault="008613B9" w:rsidP="008613B9">
      <w:pPr>
        <w:pStyle w:val="PlainText"/>
        <w:rPr>
          <w:rFonts w:ascii="Courier New" w:hAnsi="Courier New" w:cs="Courier New"/>
        </w:rPr>
      </w:pPr>
    </w:p>
    <w:p w14:paraId="6FDD842E" w14:textId="30BC802F" w:rsidR="008613B9" w:rsidRPr="008613B9" w:rsidRDefault="008613B9" w:rsidP="008613B9">
      <w:pPr>
        <w:pStyle w:val="PlainText"/>
        <w:rPr>
          <w:rFonts w:ascii="Courier New" w:hAnsi="Courier New" w:cs="Courier New"/>
        </w:rPr>
      </w:pPr>
      <w:r w:rsidRPr="008613B9">
        <w:rPr>
          <w:rFonts w:ascii="Courier New" w:hAnsi="Courier New" w:cs="Courier New"/>
        </w:rPr>
        <w:t xml:space="preserve">A new conversational-format document in the style of the existing "Chat with the Compiler" series. </w:t>
      </w:r>
      <w:proofErr w:type="gramStart"/>
      <w:r w:rsidRPr="008613B9">
        <w:rPr>
          <w:rFonts w:ascii="Courier New" w:hAnsi="Courier New" w:cs="Courier New"/>
        </w:rPr>
        <w:t>This one focuses</w:t>
      </w:r>
      <w:proofErr w:type="gramEnd"/>
      <w:r w:rsidRPr="008613B9">
        <w:rPr>
          <w:rFonts w:ascii="Courier New" w:hAnsi="Courier New" w:cs="Courier New"/>
        </w:rPr>
        <w:t xml:space="preserve"> specifically on the *Homo candidus* designation — what it means, why it is proposed, and what distinguishes *H. candidus* from *H. sapiens* at the physiological, evolutionary, and clinical level. The conversational format makes the material accessible to non-specialists while preserving technical precision.</w:t>
      </w:r>
      <w:r w:rsidR="00C413B0">
        <w:rPr>
          <w:rFonts w:ascii="Courier New" w:hAnsi="Courier New" w:cs="Courier New"/>
        </w:rPr>
        <w:t xml:space="preserve"> [Done]</w:t>
      </w:r>
    </w:p>
    <w:p w14:paraId="2024CEE0" w14:textId="77777777" w:rsidR="008613B9" w:rsidRPr="008613B9" w:rsidRDefault="008613B9" w:rsidP="008613B9">
      <w:pPr>
        <w:pStyle w:val="PlainText"/>
        <w:rPr>
          <w:rFonts w:ascii="Courier New" w:hAnsi="Courier New" w:cs="Courier New"/>
        </w:rPr>
      </w:pPr>
    </w:p>
    <w:p w14:paraId="3F212C16"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12. Paper A v1.1 — Queued Additions</w:t>
      </w:r>
    </w:p>
    <w:p w14:paraId="76A5111F" w14:textId="77777777" w:rsidR="008613B9" w:rsidRPr="008613B9" w:rsidRDefault="008613B9" w:rsidP="008613B9">
      <w:pPr>
        <w:pStyle w:val="PlainText"/>
        <w:rPr>
          <w:rFonts w:ascii="Courier New" w:hAnsi="Courier New" w:cs="Courier New"/>
        </w:rPr>
      </w:pPr>
    </w:p>
    <w:p w14:paraId="358EB6E4"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Four mechanism sections to be added to Paper A: (1) tryptophan/kynurenine rerouting — the organism diverts tryptophan away from serotonin synthesis into the kynurenine pathway; (2) mast cell degranulation via mannan and β-glucan recognition; (3) dopaminergic interface via Gpr1 and clozapine connection; (4) multi-timescale epigenetic architecture — how the organism operates across different temporal scales simultaneously.</w:t>
      </w:r>
    </w:p>
    <w:p w14:paraId="3F0B2092" w14:textId="77777777" w:rsidR="008613B9" w:rsidRPr="008613B9" w:rsidRDefault="008613B9" w:rsidP="008613B9">
      <w:pPr>
        <w:pStyle w:val="PlainText"/>
        <w:rPr>
          <w:rFonts w:ascii="Courier New" w:hAnsi="Courier New" w:cs="Courier New"/>
        </w:rPr>
      </w:pPr>
    </w:p>
    <w:p w14:paraId="28ED4F6A" w14:textId="77777777" w:rsidR="008613B9" w:rsidRPr="008613B9" w:rsidRDefault="008613B9" w:rsidP="008613B9">
      <w:pPr>
        <w:pStyle w:val="PlainText"/>
        <w:rPr>
          <w:rFonts w:ascii="Courier New" w:hAnsi="Courier New" w:cs="Courier New"/>
        </w:rPr>
      </w:pPr>
      <w:r w:rsidRPr="008613B9">
        <w:rPr>
          <w:rFonts w:ascii="Courier New" w:hAnsi="Courier New" w:cs="Courier New"/>
        </w:rPr>
        <w:lastRenderedPageBreak/>
        <w:t>## 13. Paper A v1.2 — Predictions 11 and 12</w:t>
      </w:r>
    </w:p>
    <w:p w14:paraId="330C6F33" w14:textId="77777777" w:rsidR="008613B9" w:rsidRPr="008613B9" w:rsidRDefault="008613B9" w:rsidP="008613B9">
      <w:pPr>
        <w:pStyle w:val="PlainText"/>
        <w:rPr>
          <w:rFonts w:ascii="Courier New" w:hAnsi="Courier New" w:cs="Courier New"/>
        </w:rPr>
      </w:pPr>
    </w:p>
    <w:p w14:paraId="7F12BB42"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Two additional testable predictions: (1) VOC (volatile organic compound) output profiling — the organism should produce a characteristic VOC signature detectable in breath or skin emissions; (2) glucose bolus subroutine termination — a controlled glucose load should produce a measurable interruption in the organism's ongoing metabolic subroutine, observable in real-time glucose monitoring data.</w:t>
      </w:r>
    </w:p>
    <w:p w14:paraId="0CA6DAFA" w14:textId="77777777" w:rsidR="008613B9" w:rsidRPr="008613B9" w:rsidRDefault="008613B9" w:rsidP="008613B9">
      <w:pPr>
        <w:pStyle w:val="PlainText"/>
        <w:rPr>
          <w:rFonts w:ascii="Courier New" w:hAnsi="Courier New" w:cs="Courier New"/>
        </w:rPr>
      </w:pPr>
    </w:p>
    <w:p w14:paraId="782B5001"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14. Paper B — Queued Additions</w:t>
      </w:r>
    </w:p>
    <w:p w14:paraId="30A9367E" w14:textId="77777777" w:rsidR="008613B9" w:rsidRPr="008613B9" w:rsidRDefault="008613B9" w:rsidP="008613B9">
      <w:pPr>
        <w:pStyle w:val="PlainText"/>
        <w:rPr>
          <w:rFonts w:ascii="Courier New" w:hAnsi="Courier New" w:cs="Courier New"/>
        </w:rPr>
      </w:pPr>
    </w:p>
    <w:p w14:paraId="669C4AA0"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Six additions to the evolutionary timeline paper: (1) dysentery resistance — managed gut barrier decreases susceptibility, enabling higher population density and social structure; (2) smoking vs. consuming — pulmonary vs. gut delivery changes organism sensing response, ties to fire use timeline; (3) GPR84 MCFA receptor and Thaiss connection; (4) gut microbiome as organism toolkit (B vitamin biosynthesis deficits, SCFA/polyamine reduction, mucus layer degradation, Parkinson's connection); (5) circadian clock loss — *C. albicans* shed autonomous clock genes and reads host rhythms instead; (6) Rogers et al. 2026 two-</w:t>
      </w:r>
      <w:proofErr w:type="spellStart"/>
      <w:r w:rsidRPr="008613B9">
        <w:rPr>
          <w:rFonts w:ascii="Courier New" w:hAnsi="Courier New" w:cs="Courier New"/>
        </w:rPr>
        <w:t>superarchaic</w:t>
      </w:r>
      <w:proofErr w:type="spellEnd"/>
      <w:r w:rsidRPr="008613B9">
        <w:rPr>
          <w:rFonts w:ascii="Courier New" w:hAnsi="Courier New" w:cs="Courier New"/>
        </w:rPr>
        <w:t xml:space="preserve"> hominin model integration (98% bootstrap support, 19.6% admixture, ~1.3 Ma divergence).</w:t>
      </w:r>
    </w:p>
    <w:p w14:paraId="14E7C793" w14:textId="77777777" w:rsidR="008613B9" w:rsidRPr="008613B9" w:rsidRDefault="008613B9" w:rsidP="008613B9">
      <w:pPr>
        <w:pStyle w:val="PlainText"/>
        <w:rPr>
          <w:rFonts w:ascii="Courier New" w:hAnsi="Courier New" w:cs="Courier New"/>
        </w:rPr>
      </w:pPr>
    </w:p>
    <w:p w14:paraId="1AE01803"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15. What Makes an Ideal Symbiont — Genetic Perspective</w:t>
      </w:r>
    </w:p>
    <w:p w14:paraId="2205FB1E" w14:textId="77777777" w:rsidR="008613B9" w:rsidRPr="008613B9" w:rsidRDefault="008613B9" w:rsidP="008613B9">
      <w:pPr>
        <w:pStyle w:val="PlainText"/>
        <w:rPr>
          <w:rFonts w:ascii="Courier New" w:hAnsi="Courier New" w:cs="Courier New"/>
        </w:rPr>
      </w:pPr>
    </w:p>
    <w:p w14:paraId="63BBF210" w14:textId="6CF66547" w:rsidR="008613B9" w:rsidRDefault="00C413B0" w:rsidP="008613B9">
      <w:pPr>
        <w:pStyle w:val="PlainText"/>
        <w:rPr>
          <w:rFonts w:ascii="Courier New" w:hAnsi="Courier New" w:cs="Courier New"/>
        </w:rPr>
      </w:pPr>
      <w:r>
        <w:rPr>
          <w:rFonts w:ascii="Courier New" w:hAnsi="Courier New" w:cs="Courier New"/>
        </w:rPr>
        <w:t>[Claude had the wrong idea here.  The point is the ideal symbiont is one that kills you when your genetics make you weaker. You both do this. If it gets weaker, you die from Cancer or some other thing. If you get weaker, it kills you. The ideal combination works together</w:t>
      </w:r>
    </w:p>
    <w:p w14:paraId="520D4A56" w14:textId="77777777" w:rsidR="00C413B0" w:rsidRDefault="00C413B0" w:rsidP="008613B9">
      <w:pPr>
        <w:pStyle w:val="PlainText"/>
        <w:rPr>
          <w:rFonts w:ascii="Courier New" w:hAnsi="Courier New" w:cs="Courier New"/>
        </w:rPr>
      </w:pPr>
    </w:p>
    <w:p w14:paraId="395A655A" w14:textId="77777777" w:rsidR="00C413B0" w:rsidRPr="008613B9" w:rsidRDefault="00C413B0" w:rsidP="008613B9">
      <w:pPr>
        <w:pStyle w:val="PlainText"/>
        <w:rPr>
          <w:rFonts w:ascii="Courier New" w:hAnsi="Courier New" w:cs="Courier New"/>
        </w:rPr>
      </w:pPr>
    </w:p>
    <w:p w14:paraId="3C4239B0"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16. DSHEA (</w:t>
      </w:r>
      <w:proofErr w:type="gramStart"/>
      <w:r w:rsidRPr="008613B9">
        <w:rPr>
          <w:rFonts w:ascii="Courier New" w:hAnsi="Courier New" w:cs="Courier New"/>
        </w:rPr>
        <w:t>1994) —</w:t>
      </w:r>
      <w:proofErr w:type="gramEnd"/>
      <w:r w:rsidRPr="008613B9">
        <w:rPr>
          <w:rFonts w:ascii="Courier New" w:hAnsi="Courier New" w:cs="Courier New"/>
        </w:rPr>
        <w:t xml:space="preserve"> The Regulatory Wall</w:t>
      </w:r>
    </w:p>
    <w:p w14:paraId="53ABE1AA" w14:textId="77777777" w:rsidR="008613B9" w:rsidRPr="008613B9" w:rsidRDefault="008613B9" w:rsidP="008613B9">
      <w:pPr>
        <w:pStyle w:val="PlainText"/>
        <w:rPr>
          <w:rFonts w:ascii="Courier New" w:hAnsi="Courier New" w:cs="Courier New"/>
        </w:rPr>
      </w:pPr>
    </w:p>
    <w:p w14:paraId="03FD109A"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The Dietary Supplement Health and Education Act of 1994 created a structural barrier between the framework's implications and clinical practice. If the correct intervention is nutritional or metabolic — caloric loading, substrate manipulation, dietary compounds — then physicians literally cannot prescribe it. Doctors prescribe medicines. DSHEA ensures that anything not classified as a medicine stays on the supplement shelf regardless of evidence.</w:t>
      </w:r>
    </w:p>
    <w:p w14:paraId="1E728F42" w14:textId="77777777" w:rsidR="008613B9" w:rsidRPr="008613B9" w:rsidRDefault="008613B9" w:rsidP="008613B9">
      <w:pPr>
        <w:pStyle w:val="PlainText"/>
        <w:rPr>
          <w:rFonts w:ascii="Courier New" w:hAnsi="Courier New" w:cs="Courier New"/>
        </w:rPr>
      </w:pPr>
    </w:p>
    <w:p w14:paraId="2BEE8A01"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xml:space="preserve">**Example: Lemon balm** (*Melissa officinalis*). Documented antifungal properties directly relevant to the framework. </w:t>
      </w:r>
      <w:proofErr w:type="gramStart"/>
      <w:r w:rsidRPr="008613B9">
        <w:rPr>
          <w:rFonts w:ascii="Courier New" w:hAnsi="Courier New" w:cs="Courier New"/>
        </w:rPr>
        <w:t>Also</w:t>
      </w:r>
      <w:proofErr w:type="gramEnd"/>
      <w:r w:rsidRPr="008613B9">
        <w:rPr>
          <w:rFonts w:ascii="Courier New" w:hAnsi="Courier New" w:cs="Courier New"/>
        </w:rPr>
        <w:t xml:space="preserve"> a clinically effective anxiolytic (comparable to benzodiazepines in trials) and an acetylcholinesterase inhibitor (blocks the enzyme that degrades acetylcholine — the same mechanism targeted by Alzheimer's drugs). One plant, three major clinical applications. In France, pharmacies carry it as a treatment. In the United States, it sits in the supplement aisle because of a law passed in 1994. This is not a conspiracy — it is regulatory architecture, and it is a concrete obstacle on the path from framework to clinical application.</w:t>
      </w:r>
    </w:p>
    <w:p w14:paraId="79311696" w14:textId="77777777" w:rsidR="008613B9" w:rsidRPr="008613B9" w:rsidRDefault="008613B9" w:rsidP="008613B9">
      <w:pPr>
        <w:pStyle w:val="PlainText"/>
        <w:rPr>
          <w:rFonts w:ascii="Courier New" w:hAnsi="Courier New" w:cs="Courier New"/>
        </w:rPr>
      </w:pPr>
    </w:p>
    <w:p w14:paraId="6B3C6A9B"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w:t>
      </w:r>
    </w:p>
    <w:p w14:paraId="07D2AEBA" w14:textId="77777777" w:rsidR="008613B9" w:rsidRPr="008613B9" w:rsidRDefault="008613B9" w:rsidP="008613B9">
      <w:pPr>
        <w:pStyle w:val="PlainText"/>
        <w:rPr>
          <w:rFonts w:ascii="Courier New" w:hAnsi="Courier New" w:cs="Courier New"/>
        </w:rPr>
      </w:pPr>
    </w:p>
    <w:p w14:paraId="3885D722" w14:textId="77777777" w:rsidR="008613B9" w:rsidRPr="008613B9" w:rsidRDefault="008613B9" w:rsidP="008613B9">
      <w:pPr>
        <w:pStyle w:val="PlainText"/>
        <w:rPr>
          <w:rFonts w:ascii="Courier New" w:hAnsi="Courier New" w:cs="Courier New"/>
        </w:rPr>
      </w:pPr>
      <w:r w:rsidRPr="008613B9">
        <w:rPr>
          <w:rFonts w:ascii="Courier New" w:hAnsi="Courier New" w:cs="Courier New"/>
        </w:rPr>
        <w:lastRenderedPageBreak/>
        <w:t>## Scoring Methodology (retained for future use)</w:t>
      </w:r>
    </w:p>
    <w:p w14:paraId="019B0AB9" w14:textId="77777777" w:rsidR="008613B9" w:rsidRPr="008613B9" w:rsidRDefault="008613B9" w:rsidP="008613B9">
      <w:pPr>
        <w:pStyle w:val="PlainText"/>
        <w:rPr>
          <w:rFonts w:ascii="Courier New" w:hAnsi="Courier New" w:cs="Courier New"/>
        </w:rPr>
      </w:pPr>
    </w:p>
    <w:p w14:paraId="33F706BE"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Importance Score (1–10): How much does this advance C. albicans-as-symbiont and H. candidus with scientists?</w:t>
      </w:r>
    </w:p>
    <w:p w14:paraId="26CA6EF5" w14:textId="77777777" w:rsidR="008613B9" w:rsidRPr="008613B9" w:rsidRDefault="008613B9" w:rsidP="008613B9">
      <w:pPr>
        <w:pStyle w:val="PlainText"/>
        <w:rPr>
          <w:rFonts w:ascii="Courier New" w:hAnsi="Courier New" w:cs="Courier New"/>
        </w:rPr>
      </w:pPr>
    </w:p>
    <w:p w14:paraId="3F0F7A5E"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Criterion | Weight |</w:t>
      </w:r>
    </w:p>
    <w:p w14:paraId="4FD643AC"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w:t>
      </w:r>
    </w:p>
    <w:p w14:paraId="69EF05A2"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Testable predictions generated | 25% |</w:t>
      </w:r>
    </w:p>
    <w:p w14:paraId="11B80420"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Mechanistic gap closed | 20% |</w:t>
      </w:r>
    </w:p>
    <w:p w14:paraId="5B830528"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Framework differentiation | 20% |</w:t>
      </w:r>
    </w:p>
    <w:p w14:paraId="4C69BEF3"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Evidence grounding | 20% |</w:t>
      </w:r>
    </w:p>
    <w:p w14:paraId="0FCF4DF1"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Cascade potential | 15% |</w:t>
      </w:r>
    </w:p>
    <w:p w14:paraId="1EEDCBFA" w14:textId="77777777" w:rsidR="008613B9" w:rsidRPr="008613B9" w:rsidRDefault="008613B9" w:rsidP="008613B9">
      <w:pPr>
        <w:pStyle w:val="PlainText"/>
        <w:rPr>
          <w:rFonts w:ascii="Courier New" w:hAnsi="Courier New" w:cs="Courier New"/>
        </w:rPr>
      </w:pPr>
    </w:p>
    <w:p w14:paraId="23B6FCDB"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Difficulty Score (1–10): How hard to execute given current constraints?</w:t>
      </w:r>
    </w:p>
    <w:p w14:paraId="3E0F1887" w14:textId="77777777" w:rsidR="008613B9" w:rsidRPr="008613B9" w:rsidRDefault="008613B9" w:rsidP="008613B9">
      <w:pPr>
        <w:pStyle w:val="PlainText"/>
        <w:rPr>
          <w:rFonts w:ascii="Courier New" w:hAnsi="Courier New" w:cs="Courier New"/>
        </w:rPr>
      </w:pPr>
    </w:p>
    <w:p w14:paraId="642CCB02"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Criterion | Weight |</w:t>
      </w:r>
    </w:p>
    <w:p w14:paraId="2574EF02"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w:t>
      </w:r>
    </w:p>
    <w:p w14:paraId="1201ED0E"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Research depth required | 25% |</w:t>
      </w:r>
    </w:p>
    <w:p w14:paraId="6EEFF6F1"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Writing complexity | 25% |</w:t>
      </w:r>
    </w:p>
    <w:p w14:paraId="06E178FC"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Estimated sessions | 20% |</w:t>
      </w:r>
    </w:p>
    <w:p w14:paraId="12EB11B9"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Dependencies | 15% |</w:t>
      </w:r>
    </w:p>
    <w:p w14:paraId="5F13A632"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Phone-friendliness | 15% |</w:t>
      </w:r>
    </w:p>
    <w:p w14:paraId="0FDBAAA7" w14:textId="77777777" w:rsidR="008613B9" w:rsidRPr="008613B9" w:rsidRDefault="008613B9" w:rsidP="008613B9">
      <w:pPr>
        <w:pStyle w:val="PlainText"/>
        <w:rPr>
          <w:rFonts w:ascii="Courier New" w:hAnsi="Courier New" w:cs="Courier New"/>
        </w:rPr>
      </w:pPr>
    </w:p>
    <w:p w14:paraId="792E7E04"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Current Scores</w:t>
      </w:r>
    </w:p>
    <w:p w14:paraId="07A545E2" w14:textId="77777777" w:rsidR="008613B9" w:rsidRPr="008613B9" w:rsidRDefault="008613B9" w:rsidP="008613B9">
      <w:pPr>
        <w:pStyle w:val="PlainText"/>
        <w:rPr>
          <w:rFonts w:ascii="Courier New" w:hAnsi="Courier New" w:cs="Courier New"/>
        </w:rPr>
      </w:pPr>
    </w:p>
    <w:p w14:paraId="6A76AE44"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 | Item | Importance | Difficulty |</w:t>
      </w:r>
    </w:p>
    <w:p w14:paraId="66084543"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w:t>
      </w:r>
    </w:p>
    <w:p w14:paraId="6655FE05"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1 | Thaiss outreach | 7 | 2 |</w:t>
      </w:r>
    </w:p>
    <w:p w14:paraId="0BFEE820"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3 | First/second transition case studies | 8 | 5 |</w:t>
      </w:r>
    </w:p>
    <w:p w14:paraId="4D1BD317"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4 | Third transition — urinary salts | 6 | 4 |</w:t>
      </w:r>
    </w:p>
    <w:p w14:paraId="3F7DED6D"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5 | Tearing up mechanism | 5 | 5 |</w:t>
      </w:r>
    </w:p>
    <w:p w14:paraId="5D0A40CB"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6 | Pituitary cluster (microadenoma + colonization) | 9 | 8 |</w:t>
      </w:r>
    </w:p>
    <w:p w14:paraId="6D648F8C"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7 | Esophageal shutdown case study | 7 | 4 |</w:t>
      </w:r>
    </w:p>
    <w:p w14:paraId="45E3EBF7"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8 | Melanin/pigmentation (Paper C) | 7 | 6 |</w:t>
      </w:r>
    </w:p>
    <w:p w14:paraId="53E0312E"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9 | Document D — substances | 6 | 5 |</w:t>
      </w:r>
    </w:p>
    <w:p w14:paraId="5ACB925E"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10 | "Why This Matters" timeline | 8 | 6 |</w:t>
      </w:r>
    </w:p>
    <w:p w14:paraId="4EBB0620"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11 | Chat with Compiler — Homo candidus | 7 | 4 |</w:t>
      </w:r>
    </w:p>
    <w:p w14:paraId="77E6DBA1"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12 | Paper A v1.1 additions | 8 | 6 |</w:t>
      </w:r>
    </w:p>
    <w:p w14:paraId="6E849FCE"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13 | Predictions 11 &amp; 12 (v1.2) | 6 | 3 |</w:t>
      </w:r>
    </w:p>
    <w:p w14:paraId="70F38676"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14 | Paper B queued additions | 8 | 7 |</w:t>
      </w:r>
    </w:p>
    <w:p w14:paraId="497A5AF9"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15 | Ideal symbiont — genetic perspective | 9 | 7 |</w:t>
      </w:r>
    </w:p>
    <w:p w14:paraId="7600D0E7"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16 | DSHEA (1994) + lemon balm | 7 | 3 |</w:t>
      </w:r>
    </w:p>
    <w:p w14:paraId="185B34F1" w14:textId="77777777" w:rsidR="008613B9" w:rsidRPr="008613B9" w:rsidRDefault="008613B9" w:rsidP="008613B9">
      <w:pPr>
        <w:pStyle w:val="PlainText"/>
        <w:rPr>
          <w:rFonts w:ascii="Courier New" w:hAnsi="Courier New" w:cs="Courier New"/>
        </w:rPr>
      </w:pPr>
    </w:p>
    <w:p w14:paraId="7E0AC150"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w:t>
      </w:r>
    </w:p>
    <w:p w14:paraId="7DA70A00" w14:textId="77777777" w:rsidR="008613B9" w:rsidRPr="008613B9" w:rsidRDefault="008613B9" w:rsidP="008613B9">
      <w:pPr>
        <w:pStyle w:val="PlainText"/>
        <w:rPr>
          <w:rFonts w:ascii="Courier New" w:hAnsi="Courier New" w:cs="Courier New"/>
        </w:rPr>
      </w:pPr>
    </w:p>
    <w:p w14:paraId="0C37B098"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xml:space="preserve">*This document is a continuity safeguard. The published papers stand on their own. This roadmap is for anyone picking up where I left </w:t>
      </w:r>
      <w:proofErr w:type="gramStart"/>
      <w:r w:rsidRPr="008613B9">
        <w:rPr>
          <w:rFonts w:ascii="Courier New" w:hAnsi="Courier New" w:cs="Courier New"/>
        </w:rPr>
        <w:t>off.*</w:t>
      </w:r>
      <w:proofErr w:type="gramEnd"/>
    </w:p>
    <w:p w14:paraId="4F7E5DCE" w14:textId="77777777" w:rsidR="008613B9" w:rsidRPr="008613B9" w:rsidRDefault="008613B9" w:rsidP="008613B9">
      <w:pPr>
        <w:pStyle w:val="PlainText"/>
        <w:rPr>
          <w:rFonts w:ascii="Courier New" w:hAnsi="Courier New" w:cs="Courier New"/>
        </w:rPr>
      </w:pPr>
    </w:p>
    <w:p w14:paraId="3DE19695" w14:textId="77777777" w:rsidR="008613B9" w:rsidRPr="008613B9" w:rsidRDefault="008613B9" w:rsidP="008613B9">
      <w:pPr>
        <w:pStyle w:val="PlainText"/>
        <w:rPr>
          <w:rFonts w:ascii="Courier New" w:hAnsi="Courier New" w:cs="Courier New"/>
        </w:rPr>
      </w:pPr>
      <w:r w:rsidRPr="008613B9">
        <w:rPr>
          <w:rFonts w:ascii="Courier New" w:hAnsi="Courier New" w:cs="Courier New"/>
        </w:rPr>
        <w:t>*— Jim Craddock, Tulsa, Oklahoma*</w:t>
      </w:r>
    </w:p>
    <w:p w14:paraId="125A9771" w14:textId="77777777" w:rsidR="008613B9" w:rsidRPr="008613B9" w:rsidRDefault="008613B9" w:rsidP="008613B9">
      <w:pPr>
        <w:pStyle w:val="PlainText"/>
        <w:rPr>
          <w:rFonts w:ascii="Courier New" w:hAnsi="Courier New" w:cs="Courier New"/>
        </w:rPr>
      </w:pPr>
    </w:p>
    <w:sectPr w:rsidR="008613B9" w:rsidRPr="008613B9" w:rsidSect="008613B9">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0AA"/>
    <w:rsid w:val="0007202E"/>
    <w:rsid w:val="00150480"/>
    <w:rsid w:val="001C25B8"/>
    <w:rsid w:val="008613B9"/>
    <w:rsid w:val="00B85172"/>
    <w:rsid w:val="00C413B0"/>
    <w:rsid w:val="00CB40AA"/>
    <w:rsid w:val="00FE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F910"/>
  <w15:chartTrackingRefBased/>
  <w15:docId w15:val="{E0D005AA-601B-4C94-8658-D11991FB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C51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C518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1524</Words>
  <Characters>10593</Characters>
  <Application>Microsoft Office Word</Application>
  <DocSecurity>0</DocSecurity>
  <Lines>149</Lines>
  <Paragraphs>41</Paragraphs>
  <ScaleCrop>false</ScaleCrop>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JustInCase</dc:title>
  <dc:subject>Redacted Science</dc:subject>
  <dc:creator>Craddock, Jim (HSC)</dc:creator>
  <cp:keywords>Redacted Science</cp:keywords>
  <dc:description/>
  <cp:lastModifiedBy>Craddock, Jim (HSC)</cp:lastModifiedBy>
  <cp:revision>2</cp:revision>
  <dcterms:created xsi:type="dcterms:W3CDTF">2026-04-09T00:47:00Z</dcterms:created>
  <dcterms:modified xsi:type="dcterms:W3CDTF">2026-04-09T00:47:00Z</dcterms:modified>
</cp:coreProperties>
</file>