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8F06D" w14:textId="77777777" w:rsidR="007B09A6" w:rsidRDefault="00000000">
      <w:pPr>
        <w:jc w:val="center"/>
      </w:pPr>
      <w:r>
        <w:rPr>
          <w:b/>
          <w:color w:val="000000"/>
          <w:sz w:val="48"/>
        </w:rPr>
        <w:t>Case Report</w:t>
      </w:r>
    </w:p>
    <w:p w14:paraId="108C3FF8" w14:textId="77777777" w:rsidR="007B09A6" w:rsidRDefault="00000000">
      <w:pPr>
        <w:jc w:val="center"/>
      </w:pPr>
      <w:r>
        <w:rPr>
          <w:color w:val="505050"/>
          <w:sz w:val="28"/>
        </w:rPr>
        <w:t>Acute Hemodynamic Decompensation Following Routine Phlebotomy</w:t>
      </w:r>
      <w:r>
        <w:rPr>
          <w:color w:val="505050"/>
          <w:sz w:val="28"/>
        </w:rPr>
        <w:br/>
        <w:t>in a Patient with Chronic Volume Dysregulation:</w:t>
      </w:r>
      <w:r>
        <w:rPr>
          <w:color w:val="505050"/>
          <w:sz w:val="28"/>
        </w:rPr>
        <w:br/>
        <w:t>A Five-Week Longitudinal Provocation Sequence</w:t>
      </w:r>
    </w:p>
    <w:p w14:paraId="6F7ED3AC" w14:textId="77777777" w:rsidR="007B09A6" w:rsidRDefault="007B09A6"/>
    <w:p w14:paraId="6F8B71BB" w14:textId="77777777" w:rsidR="007B09A6" w:rsidRDefault="00000000">
      <w:pPr>
        <w:jc w:val="center"/>
      </w:pPr>
      <w:r>
        <w:rPr>
          <w:sz w:val="24"/>
        </w:rPr>
        <w:t>J. Craddock</w:t>
      </w:r>
    </w:p>
    <w:p w14:paraId="539703B3" w14:textId="77777777" w:rsidR="007B09A6" w:rsidRDefault="00000000">
      <w:pPr>
        <w:jc w:val="center"/>
      </w:pPr>
      <w:r>
        <w:rPr>
          <w:color w:val="646464"/>
          <w:sz w:val="20"/>
        </w:rPr>
        <w:t>Redacted Science Research Initiative</w:t>
      </w:r>
      <w:r>
        <w:rPr>
          <w:color w:val="646464"/>
          <w:sz w:val="20"/>
        </w:rPr>
        <w:br/>
        <w:t>redactedscience.org</w:t>
      </w:r>
    </w:p>
    <w:p w14:paraId="6375D21A" w14:textId="77777777" w:rsidR="007B09A6" w:rsidRDefault="00000000">
      <w:pPr>
        <w:jc w:val="center"/>
      </w:pPr>
      <w:r>
        <w:rPr>
          <w:color w:val="646464"/>
          <w:sz w:val="20"/>
        </w:rPr>
        <w:t>Case Study Document | April 2026</w:t>
      </w:r>
    </w:p>
    <w:p w14:paraId="3A0A14C0" w14:textId="77777777" w:rsidR="007B09A6" w:rsidRDefault="007B09A6"/>
    <w:p w14:paraId="2FCAD368" w14:textId="77777777" w:rsidR="007B09A6" w:rsidRDefault="00000000">
      <w:pPr>
        <w:pStyle w:val="Heading1"/>
      </w:pPr>
      <w:r>
        <w:rPr>
          <w:rFonts w:ascii="Arial" w:hAnsi="Arial"/>
          <w:color w:val="000000"/>
        </w:rPr>
        <w:t>Abstract</w:t>
      </w:r>
    </w:p>
    <w:p w14:paraId="131D0577" w14:textId="19602EDD" w:rsidR="007B09A6" w:rsidRDefault="00000000">
      <w:r>
        <w:t xml:space="preserve">A 48-year-old male (DOB 7/5/1969) with a documented history of chronic volume dysregulation and suspected endocrine axis disruption underwent routine whole blood donation as a self-initiated provocation test. Within 24-48 hours, the patient experienced a transient hypercortisolemic state (subjective mania), followed by acute vestibular failure on day three, persistent nausea and orthostatic symptoms over the subsequent four weeks, and a near-syncopal collapse on day 34 triggered by THC-induced vasodilation. Throughout the collapse event, the patient maintained full consciousness despite documented blood pressure of 90/54 mmHg post-saline resuscitation. Serial laboratory evaluation revealed prerenal azotemia (BUN 27 mg/dL), borderline hypokalemia (K 3.5 mEq/L), maximally concentrated urine (SG 1.033), venous alkalosis (pH 7.44), complete suppression of eosinophils and basophils, and urine sodium of 203 mmol/L (massive renal sodium wasting despite volume depletion), while standard cardiac and structural workups returned negative. Longitudinal endocrine data spanning 2010 to 2026 demonstrate stable cortisol (10.3-13.2 mcg/dL) against declining aldosterone (6.5 to 4.0 ng/dL) with volatile intermediate values (1.5 ng/dL two weeks prior to the crisis), suggesting selective adrenal output preservation independent of the renin-angiotensin system. This case documents a complete provocation-response sequence with timed clinical and laboratory endpoints in a patient whose hemodynamic architecture operates outside standard physiological </w:t>
      </w:r>
      <w:proofErr w:type="gramStart"/>
      <w:r>
        <w:t>parameters.</w:t>
      </w:r>
      <w:r w:rsidR="007E38A5">
        <w:t>[</w:t>
      </w:r>
      <w:proofErr w:type="gramEnd"/>
      <w:r w:rsidR="007E38A5" w:rsidRPr="007E38A5">
        <w:rPr>
          <w:i/>
          <w:iCs/>
        </w:rPr>
        <w:t xml:space="preserve">A note from </w:t>
      </w:r>
      <w:r w:rsidR="007E38A5" w:rsidRPr="007E38A5">
        <w:t>The Architect</w:t>
      </w:r>
      <w:r w:rsidR="007E38A5" w:rsidRPr="007E38A5">
        <w:rPr>
          <w:i/>
          <w:iCs/>
        </w:rPr>
        <w:t xml:space="preserve">: All </w:t>
      </w:r>
      <w:proofErr w:type="gramStart"/>
      <w:r w:rsidR="007E38A5" w:rsidRPr="007E38A5">
        <w:rPr>
          <w:i/>
          <w:iCs/>
        </w:rPr>
        <w:t>PDF’s</w:t>
      </w:r>
      <w:proofErr w:type="gramEnd"/>
      <w:r w:rsidR="007E38A5" w:rsidRPr="007E38A5">
        <w:rPr>
          <w:i/>
          <w:iCs/>
        </w:rPr>
        <w:t xml:space="preserve"> of these labs </w:t>
      </w:r>
      <w:r w:rsidR="00111977">
        <w:rPr>
          <w:i/>
          <w:iCs/>
        </w:rPr>
        <w:t xml:space="preserve">and more </w:t>
      </w:r>
      <w:r w:rsidR="007E38A5" w:rsidRPr="007E38A5">
        <w:rPr>
          <w:i/>
          <w:iCs/>
        </w:rPr>
        <w:t>are at jimcraddock.com</w:t>
      </w:r>
      <w:r w:rsidR="007E38A5">
        <w:t>]</w:t>
      </w:r>
    </w:p>
    <w:p w14:paraId="5B67610C" w14:textId="77777777" w:rsidR="007B09A6" w:rsidRDefault="00000000">
      <w:pPr>
        <w:pStyle w:val="Heading1"/>
      </w:pPr>
      <w:r>
        <w:rPr>
          <w:rFonts w:ascii="Arial" w:hAnsi="Arial"/>
          <w:color w:val="000000"/>
        </w:rPr>
        <w:t>1. Presenting History</w:t>
      </w:r>
    </w:p>
    <w:p w14:paraId="2802F9C1" w14:textId="77777777" w:rsidR="007B09A6" w:rsidRDefault="00000000">
      <w:r>
        <w:t xml:space="preserve">The patient is a male, age 48 at the time of the index event, with a multi-year history of chronic systemic volume dysregulation characterized by oscillating phases of apparent fluid excess and deficit, progressive salt cravings (shifting from sugar preference to salt preference over the preceding decade), episodic orthostatic symptoms, and a previously identified pituitary microgranuloma on dedicated pituitary MRI with contrast (no longer detectable on subsequent </w:t>
      </w:r>
      <w:r>
        <w:lastRenderedPageBreak/>
        <w:t>imaging). Prior medical evaluation had been extensive but non-diagnostic. The patient had a known history of blood donation during an earlier volume-excess phase, which had been tolerated; however, a subsequent donation during that earlier period precipitated anemia, and the patient was advised by his physician to discontinue donation.</w:t>
      </w:r>
    </w:p>
    <w:p w14:paraId="15342646" w14:textId="5476F309" w:rsidR="007B09A6" w:rsidRDefault="00000000">
      <w:r>
        <w:t xml:space="preserve">At the time of the February 2018 provocation event, the patient was physically active, exercising regularly, dating, and subjectively well. He elected to donate blood as a deliberate self-test of his suspected condition, reasoning that if the volume-dependent pathology were real, the donation would produce a measurable response. The patient was aware of this risk and proceeded </w:t>
      </w:r>
      <w:proofErr w:type="gramStart"/>
      <w:r>
        <w:t>intentionally.</w:t>
      </w:r>
      <w:r w:rsidR="00564A71">
        <w:t>[</w:t>
      </w:r>
      <w:proofErr w:type="gramEnd"/>
      <w:r w:rsidR="00564A71" w:rsidRPr="00564A71">
        <w:rPr>
          <w:i/>
          <w:iCs/>
        </w:rPr>
        <w:t xml:space="preserve">I was at a crossroads, </w:t>
      </w:r>
      <w:proofErr w:type="gramStart"/>
      <w:r w:rsidR="00564A71" w:rsidRPr="00564A71">
        <w:rPr>
          <w:i/>
          <w:iCs/>
        </w:rPr>
        <w:t>believe</w:t>
      </w:r>
      <w:proofErr w:type="gramEnd"/>
      <w:r w:rsidR="00564A71" w:rsidRPr="00564A71">
        <w:rPr>
          <w:i/>
          <w:iCs/>
        </w:rPr>
        <w:t xml:space="preserve"> institutional medicine, or believe in </w:t>
      </w:r>
      <w:r w:rsidR="00564A71" w:rsidRPr="00564A71">
        <w:t>Redacted Science</w:t>
      </w:r>
      <w:r w:rsidR="000279D9">
        <w:t xml:space="preserve"> (Craddock, </w:t>
      </w:r>
      <w:r w:rsidR="00F25F24">
        <w:t>2025)</w:t>
      </w:r>
      <w:r w:rsidR="00564A71">
        <w:t xml:space="preserve">. </w:t>
      </w:r>
      <w:r w:rsidR="00564A71">
        <w:rPr>
          <w:i/>
          <w:iCs/>
        </w:rPr>
        <w:t xml:space="preserve">I needed to know </w:t>
      </w:r>
      <w:proofErr w:type="gramStart"/>
      <w:r w:rsidR="00564A71">
        <w:rPr>
          <w:i/>
          <w:iCs/>
        </w:rPr>
        <w:t>in order to</w:t>
      </w:r>
      <w:proofErr w:type="gramEnd"/>
      <w:r w:rsidR="00564A71">
        <w:rPr>
          <w:i/>
          <w:iCs/>
        </w:rPr>
        <w:t xml:space="preserve"> plan my life.  Yes, it </w:t>
      </w:r>
      <w:proofErr w:type="gramStart"/>
      <w:r w:rsidR="00564A71">
        <w:rPr>
          <w:i/>
          <w:iCs/>
        </w:rPr>
        <w:t>cost</w:t>
      </w:r>
      <w:proofErr w:type="gramEnd"/>
      <w:r w:rsidR="00564A71">
        <w:rPr>
          <w:i/>
          <w:iCs/>
        </w:rPr>
        <w:t xml:space="preserve"> me years, but it told me the truth. Science IS Redacted</w:t>
      </w:r>
      <w:r w:rsidR="00564A71">
        <w:t>]</w:t>
      </w:r>
    </w:p>
    <w:p w14:paraId="0CAD1803" w14:textId="77777777" w:rsidR="007B09A6" w:rsidRDefault="00000000">
      <w:pPr>
        <w:pStyle w:val="Heading1"/>
      </w:pPr>
      <w:r>
        <w:rPr>
          <w:rFonts w:ascii="Arial" w:hAnsi="Arial"/>
          <w:color w:val="000000"/>
        </w:rPr>
        <w:t>2. Provocation Event and Clinical Course</w:t>
      </w:r>
    </w:p>
    <w:p w14:paraId="677ED0A0" w14:textId="77777777" w:rsidR="007B09A6" w:rsidRDefault="00000000">
      <w:pPr>
        <w:pStyle w:val="Heading2"/>
      </w:pPr>
      <w:r>
        <w:rPr>
          <w:rFonts w:ascii="Arial" w:hAnsi="Arial"/>
          <w:color w:val="000000"/>
        </w:rPr>
        <w:t>2.1 Timeline</w:t>
      </w:r>
    </w:p>
    <w:tbl>
      <w:tblPr>
        <w:tblStyle w:val="TableGrid"/>
        <w:tblW w:w="0" w:type="auto"/>
        <w:jc w:val="center"/>
        <w:tblLook w:val="04A0" w:firstRow="1" w:lastRow="0" w:firstColumn="1" w:lastColumn="0" w:noHBand="0" w:noVBand="1"/>
      </w:tblPr>
      <w:tblGrid>
        <w:gridCol w:w="1872"/>
        <w:gridCol w:w="4320"/>
        <w:gridCol w:w="3168"/>
      </w:tblGrid>
      <w:tr w:rsidR="007B09A6" w14:paraId="0C37DF72" w14:textId="77777777">
        <w:trPr>
          <w:jc w:val="center"/>
        </w:trPr>
        <w:tc>
          <w:tcPr>
            <w:tcW w:w="1872" w:type="dxa"/>
          </w:tcPr>
          <w:p w14:paraId="07168A68" w14:textId="77777777" w:rsidR="007B09A6" w:rsidRDefault="00000000">
            <w:r>
              <w:rPr>
                <w:b/>
                <w:sz w:val="20"/>
              </w:rPr>
              <w:t>Day / Date</w:t>
            </w:r>
          </w:p>
        </w:tc>
        <w:tc>
          <w:tcPr>
            <w:tcW w:w="4320" w:type="dxa"/>
          </w:tcPr>
          <w:p w14:paraId="06C86A10" w14:textId="77777777" w:rsidR="007B09A6" w:rsidRDefault="00000000">
            <w:r>
              <w:rPr>
                <w:b/>
                <w:sz w:val="20"/>
              </w:rPr>
              <w:t>Event</w:t>
            </w:r>
          </w:p>
        </w:tc>
        <w:tc>
          <w:tcPr>
            <w:tcW w:w="3168" w:type="dxa"/>
          </w:tcPr>
          <w:p w14:paraId="519996B8" w14:textId="77777777" w:rsidR="007B09A6" w:rsidRDefault="00000000">
            <w:r>
              <w:rPr>
                <w:b/>
                <w:sz w:val="20"/>
              </w:rPr>
              <w:t>Clinical Significance</w:t>
            </w:r>
          </w:p>
        </w:tc>
      </w:tr>
      <w:tr w:rsidR="007B09A6" w14:paraId="4C891F38" w14:textId="77777777">
        <w:trPr>
          <w:jc w:val="center"/>
        </w:trPr>
        <w:tc>
          <w:tcPr>
            <w:tcW w:w="1872" w:type="dxa"/>
          </w:tcPr>
          <w:p w14:paraId="5683E0A5" w14:textId="77777777" w:rsidR="007B09A6" w:rsidRDefault="00000000">
            <w:r>
              <w:rPr>
                <w:sz w:val="20"/>
              </w:rPr>
              <w:t>Day 0</w:t>
            </w:r>
            <w:r>
              <w:rPr>
                <w:sz w:val="20"/>
              </w:rPr>
              <w:br/>
              <w:t>Feb 1, 2018</w:t>
            </w:r>
            <w:r>
              <w:rPr>
                <w:sz w:val="20"/>
              </w:rPr>
              <w:br/>
              <w:t>1:00 PM</w:t>
            </w:r>
          </w:p>
        </w:tc>
        <w:tc>
          <w:tcPr>
            <w:tcW w:w="4320" w:type="dxa"/>
          </w:tcPr>
          <w:p w14:paraId="1C4DF7AE" w14:textId="77777777" w:rsidR="007B09A6" w:rsidRDefault="00000000">
            <w:r>
              <w:rPr>
                <w:sz w:val="20"/>
              </w:rPr>
              <w:t>Routine whole blood donation (standard 470 mL unit)</w:t>
            </w:r>
          </w:p>
        </w:tc>
        <w:tc>
          <w:tcPr>
            <w:tcW w:w="3168" w:type="dxa"/>
          </w:tcPr>
          <w:p w14:paraId="76238A9A" w14:textId="77777777" w:rsidR="007B09A6" w:rsidRDefault="00000000">
            <w:r>
              <w:rPr>
                <w:sz w:val="20"/>
              </w:rPr>
              <w:t>Volume removal from already-compromised vascular compartment</w:t>
            </w:r>
          </w:p>
        </w:tc>
      </w:tr>
      <w:tr w:rsidR="007B09A6" w14:paraId="4FEDAF03" w14:textId="77777777">
        <w:trPr>
          <w:jc w:val="center"/>
        </w:trPr>
        <w:tc>
          <w:tcPr>
            <w:tcW w:w="1872" w:type="dxa"/>
          </w:tcPr>
          <w:p w14:paraId="437F8920" w14:textId="77777777" w:rsidR="007B09A6" w:rsidRDefault="00000000">
            <w:r>
              <w:rPr>
                <w:sz w:val="20"/>
              </w:rPr>
              <w:t>Day 1</w:t>
            </w:r>
            <w:r>
              <w:rPr>
                <w:sz w:val="20"/>
              </w:rPr>
              <w:br/>
              <w:t>Feb 2, 2018</w:t>
            </w:r>
          </w:p>
        </w:tc>
        <w:tc>
          <w:tcPr>
            <w:tcW w:w="4320" w:type="dxa"/>
          </w:tcPr>
          <w:p w14:paraId="0EBC6C0A" w14:textId="77777777" w:rsidR="007B09A6" w:rsidRDefault="00000000">
            <w:r>
              <w:rPr>
                <w:sz w:val="20"/>
              </w:rPr>
              <w:t>Patient reports near-manic state: elevated energy, heightened focus, subjective euphoria</w:t>
            </w:r>
          </w:p>
        </w:tc>
        <w:tc>
          <w:tcPr>
            <w:tcW w:w="3168" w:type="dxa"/>
          </w:tcPr>
          <w:p w14:paraId="6D89862F" w14:textId="77777777" w:rsidR="007B09A6" w:rsidRDefault="00000000">
            <w:r>
              <w:rPr>
                <w:sz w:val="20"/>
              </w:rPr>
              <w:t>Consistent with emergency ACTH/cortisol surge in response to acute volume depletion</w:t>
            </w:r>
          </w:p>
        </w:tc>
      </w:tr>
      <w:tr w:rsidR="007B09A6" w14:paraId="75DF4141" w14:textId="77777777">
        <w:trPr>
          <w:jc w:val="center"/>
        </w:trPr>
        <w:tc>
          <w:tcPr>
            <w:tcW w:w="1872" w:type="dxa"/>
          </w:tcPr>
          <w:p w14:paraId="6C5FDC54" w14:textId="77777777" w:rsidR="007B09A6" w:rsidRDefault="00000000">
            <w:r>
              <w:rPr>
                <w:sz w:val="20"/>
              </w:rPr>
              <w:t>Day 3</w:t>
            </w:r>
            <w:r>
              <w:rPr>
                <w:sz w:val="20"/>
              </w:rPr>
              <w:br/>
              <w:t>Feb 4, 2018</w:t>
            </w:r>
            <w:r>
              <w:rPr>
                <w:sz w:val="20"/>
              </w:rPr>
              <w:br/>
              <w:t>(Sunday)</w:t>
            </w:r>
          </w:p>
        </w:tc>
        <w:tc>
          <w:tcPr>
            <w:tcW w:w="4320" w:type="dxa"/>
          </w:tcPr>
          <w:p w14:paraId="34948557" w14:textId="77777777" w:rsidR="007B09A6" w:rsidRDefault="00000000">
            <w:r>
              <w:rPr>
                <w:sz w:val="20"/>
              </w:rPr>
              <w:t>Acute onset room-spinning vertigo upon waking. No nausea or diaphoresis initially. Ambulation possible only at an angle</w:t>
            </w:r>
          </w:p>
        </w:tc>
        <w:tc>
          <w:tcPr>
            <w:tcW w:w="3168" w:type="dxa"/>
          </w:tcPr>
          <w:p w14:paraId="40CC3A24" w14:textId="77777777" w:rsidR="007B09A6" w:rsidRDefault="00000000">
            <w:r>
              <w:rPr>
                <w:sz w:val="20"/>
              </w:rPr>
              <w:t>Vestibular system failure secondary to cerebral perfusion deficit after ~72 hours of compensatory effort. Vestibular apparatus is highly sensitive to perfusion changes</w:t>
            </w:r>
          </w:p>
        </w:tc>
      </w:tr>
      <w:tr w:rsidR="007B09A6" w14:paraId="550A8153" w14:textId="77777777">
        <w:trPr>
          <w:jc w:val="center"/>
        </w:trPr>
        <w:tc>
          <w:tcPr>
            <w:tcW w:w="1872" w:type="dxa"/>
          </w:tcPr>
          <w:p w14:paraId="10D75413" w14:textId="77777777" w:rsidR="007B09A6" w:rsidRDefault="00000000">
            <w:r>
              <w:rPr>
                <w:sz w:val="20"/>
              </w:rPr>
              <w:t>Days 4-5</w:t>
            </w:r>
            <w:r>
              <w:rPr>
                <w:sz w:val="20"/>
              </w:rPr>
              <w:br/>
              <w:t>Feb 5-6</w:t>
            </w:r>
          </w:p>
        </w:tc>
        <w:tc>
          <w:tcPr>
            <w:tcW w:w="4320" w:type="dxa"/>
          </w:tcPr>
          <w:p w14:paraId="2FC12150" w14:textId="77777777" w:rsidR="007B09A6" w:rsidRDefault="00000000">
            <w:r>
              <w:rPr>
                <w:sz w:val="20"/>
              </w:rPr>
              <w:t>Vertigo persists. Patient manages at home</w:t>
            </w:r>
          </w:p>
        </w:tc>
        <w:tc>
          <w:tcPr>
            <w:tcW w:w="3168" w:type="dxa"/>
          </w:tcPr>
          <w:p w14:paraId="1F27CDAF" w14:textId="77777777" w:rsidR="007B09A6" w:rsidRDefault="007B09A6"/>
        </w:tc>
      </w:tr>
      <w:tr w:rsidR="007B09A6" w14:paraId="29B314A1" w14:textId="77777777">
        <w:trPr>
          <w:jc w:val="center"/>
        </w:trPr>
        <w:tc>
          <w:tcPr>
            <w:tcW w:w="1872" w:type="dxa"/>
          </w:tcPr>
          <w:p w14:paraId="0F102353" w14:textId="77777777" w:rsidR="007B09A6" w:rsidRDefault="00000000">
            <w:r>
              <w:rPr>
                <w:sz w:val="20"/>
              </w:rPr>
              <w:t>Day 6</w:t>
            </w:r>
            <w:r>
              <w:rPr>
                <w:sz w:val="20"/>
              </w:rPr>
              <w:br/>
              <w:t>Feb 7, 2018</w:t>
            </w:r>
          </w:p>
        </w:tc>
        <w:tc>
          <w:tcPr>
            <w:tcW w:w="4320" w:type="dxa"/>
          </w:tcPr>
          <w:p w14:paraId="7927D647" w14:textId="77777777" w:rsidR="007B09A6" w:rsidRDefault="00000000">
            <w:r>
              <w:rPr>
                <w:sz w:val="20"/>
              </w:rPr>
              <w:t>Emergency department visit #1. CT head, ECG x2, CMP, Troponin, Chest XR performed. All reported normal</w:t>
            </w:r>
          </w:p>
        </w:tc>
        <w:tc>
          <w:tcPr>
            <w:tcW w:w="3168" w:type="dxa"/>
          </w:tcPr>
          <w:p w14:paraId="08546BAA" w14:textId="77777777" w:rsidR="007B09A6" w:rsidRDefault="00000000">
            <w:r>
              <w:rPr>
                <w:sz w:val="20"/>
              </w:rPr>
              <w:t>Standard structural/cardiac workup negative. No assessment of volume status performed</w:t>
            </w:r>
          </w:p>
        </w:tc>
      </w:tr>
      <w:tr w:rsidR="007B09A6" w14:paraId="614BA902" w14:textId="77777777">
        <w:trPr>
          <w:jc w:val="center"/>
        </w:trPr>
        <w:tc>
          <w:tcPr>
            <w:tcW w:w="1872" w:type="dxa"/>
          </w:tcPr>
          <w:p w14:paraId="562B1CFC" w14:textId="77777777" w:rsidR="007B09A6" w:rsidRDefault="00000000">
            <w:r>
              <w:rPr>
                <w:sz w:val="20"/>
              </w:rPr>
              <w:t>Days 7-26</w:t>
            </w:r>
            <w:r>
              <w:rPr>
                <w:sz w:val="20"/>
              </w:rPr>
              <w:br/>
              <w:t>Feb 8-27</w:t>
            </w:r>
          </w:p>
        </w:tc>
        <w:tc>
          <w:tcPr>
            <w:tcW w:w="4320" w:type="dxa"/>
          </w:tcPr>
          <w:p w14:paraId="4F03C7BD" w14:textId="77777777" w:rsidR="007B09A6" w:rsidRDefault="00000000">
            <w:r>
              <w:rPr>
                <w:sz w:val="20"/>
              </w:rPr>
              <w:t>Vertigo gradually resolves. Replaced by persistent nausea and orthostatic symptoms (dizziness on positional change, including during exercise)</w:t>
            </w:r>
          </w:p>
        </w:tc>
        <w:tc>
          <w:tcPr>
            <w:tcW w:w="3168" w:type="dxa"/>
          </w:tcPr>
          <w:p w14:paraId="5F126F7B" w14:textId="77777777" w:rsidR="007B09A6" w:rsidRDefault="00000000">
            <w:r>
              <w:rPr>
                <w:sz w:val="20"/>
              </w:rPr>
              <w:t>Autonomic instability during volume recovery phase</w:t>
            </w:r>
          </w:p>
        </w:tc>
      </w:tr>
      <w:tr w:rsidR="007B09A6" w14:paraId="67789F83" w14:textId="77777777">
        <w:trPr>
          <w:jc w:val="center"/>
        </w:trPr>
        <w:tc>
          <w:tcPr>
            <w:tcW w:w="1872" w:type="dxa"/>
          </w:tcPr>
          <w:p w14:paraId="2E9F9E13" w14:textId="77777777" w:rsidR="007B09A6" w:rsidRDefault="00000000">
            <w:r>
              <w:rPr>
                <w:sz w:val="20"/>
              </w:rPr>
              <w:t>Day 26</w:t>
            </w:r>
            <w:r>
              <w:rPr>
                <w:sz w:val="20"/>
              </w:rPr>
              <w:br/>
              <w:t>Feb 27, 2018</w:t>
            </w:r>
          </w:p>
        </w:tc>
        <w:tc>
          <w:tcPr>
            <w:tcW w:w="4320" w:type="dxa"/>
          </w:tcPr>
          <w:p w14:paraId="3C800B68" w14:textId="77777777" w:rsidR="007B09A6" w:rsidRDefault="00000000">
            <w:r>
              <w:rPr>
                <w:sz w:val="20"/>
              </w:rPr>
              <w:t>Patient privately orders laboratory studies: Renin Activity 0.564 ng/mL/hr; Aldosterone 1.5 ng/dL; Urine Sodium 203 mmol/L; UA with pH 7.5 and SG 1.021</w:t>
            </w:r>
          </w:p>
        </w:tc>
        <w:tc>
          <w:tcPr>
            <w:tcW w:w="3168" w:type="dxa"/>
          </w:tcPr>
          <w:p w14:paraId="174259B8" w14:textId="77777777" w:rsidR="007B09A6" w:rsidRDefault="00000000">
            <w:r>
              <w:rPr>
                <w:sz w:val="20"/>
              </w:rPr>
              <w:t xml:space="preserve">Critically low aldosterone with suppressed renin. Massive urinary sodium wasting (203 mmol/L) confirms kidney is not retaining sodium. Alkaline urine </w:t>
            </w:r>
            <w:r>
              <w:rPr>
                <w:sz w:val="20"/>
              </w:rPr>
              <w:lastRenderedPageBreak/>
              <w:t>(pH 7.5) pairs with later venous alkalosis (pH 7.44). SG 1.021, below patient's established baseline, indicates kidneys not yet in conservation mode; compare to SG 1.033 twelve days later at collapse. See Section 3</w:t>
            </w:r>
          </w:p>
        </w:tc>
      </w:tr>
      <w:tr w:rsidR="007B09A6" w14:paraId="56B8374E" w14:textId="77777777">
        <w:trPr>
          <w:jc w:val="center"/>
        </w:trPr>
        <w:tc>
          <w:tcPr>
            <w:tcW w:w="1872" w:type="dxa"/>
          </w:tcPr>
          <w:p w14:paraId="198C6339" w14:textId="77777777" w:rsidR="007B09A6" w:rsidRDefault="00000000">
            <w:r>
              <w:rPr>
                <w:sz w:val="20"/>
              </w:rPr>
              <w:lastRenderedPageBreak/>
              <w:t>Day 36</w:t>
            </w:r>
            <w:r>
              <w:rPr>
                <w:sz w:val="20"/>
              </w:rPr>
              <w:br/>
              <w:t>Mar 9, 2018</w:t>
            </w:r>
          </w:p>
        </w:tc>
        <w:tc>
          <w:tcPr>
            <w:tcW w:w="4320" w:type="dxa"/>
          </w:tcPr>
          <w:p w14:paraId="39C73422" w14:textId="77777777" w:rsidR="007B09A6" w:rsidRDefault="00000000">
            <w:r>
              <w:rPr>
                <w:sz w:val="20"/>
              </w:rPr>
              <w:t>Patient inhales small amount of THC (leaf). Gagging during ambulation. Collapse within minutes. Fully conscious throughout. Hands and feet vibrating. Unable to move. Son calls 911</w:t>
            </w:r>
          </w:p>
        </w:tc>
        <w:tc>
          <w:tcPr>
            <w:tcW w:w="3168" w:type="dxa"/>
          </w:tcPr>
          <w:p w14:paraId="2A27DF8F" w14:textId="77777777" w:rsidR="007B09A6" w:rsidRDefault="00000000">
            <w:r>
              <w:rPr>
                <w:sz w:val="20"/>
              </w:rPr>
              <w:t>THC-induced vasodilation as terminal trigger in a system at perfusion threshold. Peripheral vasospasm (vibrating extremities) indicates emergency centralization of blood volume to maintain cerebral perfusion</w:t>
            </w:r>
          </w:p>
        </w:tc>
      </w:tr>
      <w:tr w:rsidR="007B09A6" w14:paraId="05C8C78C" w14:textId="77777777">
        <w:trPr>
          <w:jc w:val="center"/>
        </w:trPr>
        <w:tc>
          <w:tcPr>
            <w:tcW w:w="1872" w:type="dxa"/>
          </w:tcPr>
          <w:p w14:paraId="742E9AAD" w14:textId="77777777" w:rsidR="007B09A6" w:rsidRDefault="00000000">
            <w:r>
              <w:rPr>
                <w:sz w:val="20"/>
              </w:rPr>
              <w:t>Day 36</w:t>
            </w:r>
            <w:r>
              <w:rPr>
                <w:sz w:val="20"/>
              </w:rPr>
              <w:br/>
              <w:t>Mar 9, 2018</w:t>
            </w:r>
            <w:r>
              <w:rPr>
                <w:sz w:val="20"/>
              </w:rPr>
              <w:br/>
              <w:t>(ER #2)</w:t>
            </w:r>
          </w:p>
        </w:tc>
        <w:tc>
          <w:tcPr>
            <w:tcW w:w="4320" w:type="dxa"/>
          </w:tcPr>
          <w:p w14:paraId="3AF0DBE7" w14:textId="77777777" w:rsidR="007B09A6" w:rsidRDefault="00000000">
            <w:r>
              <w:rPr>
                <w:sz w:val="20"/>
              </w:rPr>
              <w:t>Emergency department visit #2. See Section 3 for complete laboratory results</w:t>
            </w:r>
          </w:p>
        </w:tc>
        <w:tc>
          <w:tcPr>
            <w:tcW w:w="3168" w:type="dxa"/>
          </w:tcPr>
          <w:p w14:paraId="45310CE7" w14:textId="77777777" w:rsidR="007B09A6" w:rsidRDefault="00000000">
            <w:r>
              <w:rPr>
                <w:sz w:val="20"/>
              </w:rPr>
              <w:t>Multiple subtle abnormalities identified retrospectively. BP remained low post-resuscitation</w:t>
            </w:r>
          </w:p>
        </w:tc>
      </w:tr>
      <w:tr w:rsidR="007B09A6" w14:paraId="775333EF" w14:textId="77777777">
        <w:trPr>
          <w:jc w:val="center"/>
        </w:trPr>
        <w:tc>
          <w:tcPr>
            <w:tcW w:w="1872" w:type="dxa"/>
          </w:tcPr>
          <w:p w14:paraId="029C003C" w14:textId="77777777" w:rsidR="007B09A6" w:rsidRDefault="00000000">
            <w:r>
              <w:rPr>
                <w:sz w:val="20"/>
              </w:rPr>
              <w:t>Day 41</w:t>
            </w:r>
            <w:r>
              <w:rPr>
                <w:sz w:val="20"/>
              </w:rPr>
              <w:br/>
              <w:t>Mar 14, 2018</w:t>
            </w:r>
          </w:p>
        </w:tc>
        <w:tc>
          <w:tcPr>
            <w:tcW w:w="4320" w:type="dxa"/>
          </w:tcPr>
          <w:p w14:paraId="35C19E04" w14:textId="77777777" w:rsidR="007B09A6" w:rsidRDefault="00000000">
            <w:r>
              <w:rPr>
                <w:sz w:val="20"/>
              </w:rPr>
              <w:t>Follow-up laboratory studies: Aldosterone 6.5 ng/dL</w:t>
            </w:r>
          </w:p>
        </w:tc>
        <w:tc>
          <w:tcPr>
            <w:tcW w:w="3168" w:type="dxa"/>
          </w:tcPr>
          <w:p w14:paraId="5FD7DD57" w14:textId="77777777" w:rsidR="007B09A6" w:rsidRDefault="00000000">
            <w:r>
              <w:rPr>
                <w:sz w:val="20"/>
              </w:rPr>
              <w:t>Aldosterone quadrupled from 1.5 to 6.5 in approximately two weeks. See Section 4</w:t>
            </w:r>
          </w:p>
        </w:tc>
      </w:tr>
      <w:tr w:rsidR="007B09A6" w14:paraId="6CBE6A72" w14:textId="77777777">
        <w:trPr>
          <w:jc w:val="center"/>
        </w:trPr>
        <w:tc>
          <w:tcPr>
            <w:tcW w:w="1872" w:type="dxa"/>
          </w:tcPr>
          <w:p w14:paraId="4DFC5627" w14:textId="77777777" w:rsidR="007B09A6" w:rsidRDefault="00000000">
            <w:r>
              <w:rPr>
                <w:sz w:val="20"/>
              </w:rPr>
              <w:t>Day 43</w:t>
            </w:r>
            <w:r>
              <w:rPr>
                <w:sz w:val="20"/>
              </w:rPr>
              <w:br/>
              <w:t>Mar 16, 2018</w:t>
            </w:r>
          </w:p>
        </w:tc>
        <w:tc>
          <w:tcPr>
            <w:tcW w:w="4320" w:type="dxa"/>
          </w:tcPr>
          <w:p w14:paraId="6481F999" w14:textId="77777777" w:rsidR="007B09A6" w:rsidRDefault="00000000">
            <w:r>
              <w:rPr>
                <w:sz w:val="20"/>
              </w:rPr>
              <w:t>Additional labs: pH 7.44 (venous blood), lactic acid 1.0 mmol/L. CMP abnormal. UA abnormal</w:t>
            </w:r>
          </w:p>
        </w:tc>
        <w:tc>
          <w:tcPr>
            <w:tcW w:w="3168" w:type="dxa"/>
          </w:tcPr>
          <w:p w14:paraId="69513DD8" w14:textId="77777777" w:rsidR="007B09A6" w:rsidRDefault="00000000">
            <w:r>
              <w:rPr>
                <w:sz w:val="20"/>
              </w:rPr>
              <w:t>Venous alkalosis. See Section 3</w:t>
            </w:r>
          </w:p>
        </w:tc>
      </w:tr>
      <w:tr w:rsidR="007B09A6" w14:paraId="62EF2C5C" w14:textId="77777777">
        <w:trPr>
          <w:jc w:val="center"/>
        </w:trPr>
        <w:tc>
          <w:tcPr>
            <w:tcW w:w="1872" w:type="dxa"/>
          </w:tcPr>
          <w:p w14:paraId="60069597" w14:textId="77777777" w:rsidR="007B09A6" w:rsidRDefault="00000000">
            <w:r>
              <w:rPr>
                <w:sz w:val="20"/>
              </w:rPr>
              <w:t>Day 62</w:t>
            </w:r>
            <w:r>
              <w:rPr>
                <w:sz w:val="20"/>
              </w:rPr>
              <w:br/>
              <w:t>Apr 4, 2018</w:t>
            </w:r>
          </w:p>
        </w:tc>
        <w:tc>
          <w:tcPr>
            <w:tcW w:w="4320" w:type="dxa"/>
          </w:tcPr>
          <w:p w14:paraId="77A5BD8F" w14:textId="77777777" w:rsidR="007B09A6" w:rsidRDefault="00000000">
            <w:r>
              <w:rPr>
                <w:sz w:val="20"/>
              </w:rPr>
              <w:t>EGD, surgical histopathological examination, CLO test performed</w:t>
            </w:r>
          </w:p>
        </w:tc>
        <w:tc>
          <w:tcPr>
            <w:tcW w:w="3168" w:type="dxa"/>
          </w:tcPr>
          <w:p w14:paraId="2C6612E2" w14:textId="77777777" w:rsidR="007B09A6" w:rsidRDefault="00000000">
            <w:r>
              <w:rPr>
                <w:sz w:val="20"/>
              </w:rPr>
              <w:t>Upper GI evaluation negative for structural pathology</w:t>
            </w:r>
          </w:p>
        </w:tc>
      </w:tr>
      <w:tr w:rsidR="007B09A6" w14:paraId="02DED12F" w14:textId="77777777">
        <w:trPr>
          <w:jc w:val="center"/>
        </w:trPr>
        <w:tc>
          <w:tcPr>
            <w:tcW w:w="1872" w:type="dxa"/>
          </w:tcPr>
          <w:p w14:paraId="0C85B179" w14:textId="77777777" w:rsidR="007B09A6" w:rsidRDefault="00000000">
            <w:r>
              <w:rPr>
                <w:sz w:val="20"/>
              </w:rPr>
              <w:t>Days 76-78</w:t>
            </w:r>
            <w:r>
              <w:rPr>
                <w:sz w:val="20"/>
              </w:rPr>
              <w:br/>
              <w:t>Apr 18-19</w:t>
            </w:r>
          </w:p>
        </w:tc>
        <w:tc>
          <w:tcPr>
            <w:tcW w:w="4320" w:type="dxa"/>
          </w:tcPr>
          <w:p w14:paraId="7FF61F95" w14:textId="77777777" w:rsidR="007B09A6" w:rsidRDefault="00000000">
            <w:r>
              <w:rPr>
                <w:sz w:val="20"/>
              </w:rPr>
              <w:t>Serial vitals: BP 100/60, 97/69, 90/54. Pulse 66-88. Resp 14-21</w:t>
            </w:r>
          </w:p>
        </w:tc>
        <w:tc>
          <w:tcPr>
            <w:tcW w:w="3168" w:type="dxa"/>
          </w:tcPr>
          <w:p w14:paraId="202692EA" w14:textId="77777777" w:rsidR="007B09A6" w:rsidRDefault="00000000">
            <w:r>
              <w:rPr>
                <w:sz w:val="20"/>
              </w:rPr>
              <w:t>Persistent hypotension eleven weeks post-provocation. See Section 3</w:t>
            </w:r>
          </w:p>
        </w:tc>
      </w:tr>
      <w:tr w:rsidR="007B09A6" w14:paraId="3CDF8783" w14:textId="77777777">
        <w:trPr>
          <w:jc w:val="center"/>
        </w:trPr>
        <w:tc>
          <w:tcPr>
            <w:tcW w:w="1872" w:type="dxa"/>
          </w:tcPr>
          <w:p w14:paraId="390BB810" w14:textId="77777777" w:rsidR="007B09A6" w:rsidRDefault="00000000">
            <w:r>
              <w:rPr>
                <w:sz w:val="20"/>
              </w:rPr>
              <w:t>Day 88</w:t>
            </w:r>
            <w:r>
              <w:rPr>
                <w:sz w:val="20"/>
              </w:rPr>
              <w:br/>
              <w:t>Apr 30, 2018</w:t>
            </w:r>
          </w:p>
        </w:tc>
        <w:tc>
          <w:tcPr>
            <w:tcW w:w="4320" w:type="dxa"/>
          </w:tcPr>
          <w:p w14:paraId="11A11C4D" w14:textId="77777777" w:rsidR="007B09A6" w:rsidRDefault="00000000">
            <w:r>
              <w:rPr>
                <w:sz w:val="20"/>
              </w:rPr>
              <w:t>BP 126/76</w:t>
            </w:r>
          </w:p>
        </w:tc>
        <w:tc>
          <w:tcPr>
            <w:tcW w:w="3168" w:type="dxa"/>
          </w:tcPr>
          <w:p w14:paraId="6CC78252" w14:textId="77777777" w:rsidR="007B09A6" w:rsidRDefault="00000000">
            <w:r>
              <w:rPr>
                <w:sz w:val="20"/>
              </w:rPr>
              <w:t>First normotensive reading. Compensation beginning</w:t>
            </w:r>
          </w:p>
        </w:tc>
      </w:tr>
      <w:tr w:rsidR="007B09A6" w14:paraId="4DCA6DD0" w14:textId="77777777">
        <w:trPr>
          <w:jc w:val="center"/>
        </w:trPr>
        <w:tc>
          <w:tcPr>
            <w:tcW w:w="1872" w:type="dxa"/>
          </w:tcPr>
          <w:p w14:paraId="665E9304" w14:textId="77777777" w:rsidR="007B09A6" w:rsidRDefault="00000000">
            <w:r>
              <w:rPr>
                <w:sz w:val="20"/>
              </w:rPr>
              <w:t>~Day 243</w:t>
            </w:r>
            <w:r>
              <w:rPr>
                <w:sz w:val="20"/>
              </w:rPr>
              <w:br/>
              <w:t>Oct 2, 2018</w:t>
            </w:r>
          </w:p>
        </w:tc>
        <w:tc>
          <w:tcPr>
            <w:tcW w:w="4320" w:type="dxa"/>
          </w:tcPr>
          <w:p w14:paraId="553AE5E8" w14:textId="77777777" w:rsidR="007B09A6" w:rsidRDefault="00000000">
            <w:r>
              <w:rPr>
                <w:sz w:val="20"/>
              </w:rPr>
              <w:t>BP 139/90</w:t>
            </w:r>
          </w:p>
        </w:tc>
        <w:tc>
          <w:tcPr>
            <w:tcW w:w="3168" w:type="dxa"/>
          </w:tcPr>
          <w:p w14:paraId="4F92CCDF" w14:textId="77777777" w:rsidR="007B09A6" w:rsidRDefault="00000000">
            <w:r>
              <w:rPr>
                <w:sz w:val="20"/>
              </w:rPr>
              <w:t>Overshoot. System recalibrating. Refill phase initiated</w:t>
            </w:r>
          </w:p>
        </w:tc>
      </w:tr>
    </w:tbl>
    <w:p w14:paraId="69E3A67E" w14:textId="77777777" w:rsidR="007B09A6" w:rsidRDefault="007B09A6"/>
    <w:p w14:paraId="5D77191F" w14:textId="77777777" w:rsidR="007B09A6" w:rsidRDefault="00000000">
      <w:pPr>
        <w:pStyle w:val="Heading1"/>
      </w:pPr>
      <w:r>
        <w:rPr>
          <w:rFonts w:ascii="Arial" w:hAnsi="Arial"/>
          <w:color w:val="000000"/>
        </w:rPr>
        <w:t>3. Laboratory Findings</w:t>
      </w:r>
    </w:p>
    <w:p w14:paraId="2FD8F5EE" w14:textId="04E77707" w:rsidR="000279D9" w:rsidRDefault="000279D9" w:rsidP="000279D9">
      <w:pPr>
        <w:pStyle w:val="Heading2"/>
      </w:pPr>
      <w:r>
        <w:rPr>
          <w:rFonts w:ascii="Arial" w:hAnsi="Arial"/>
          <w:color w:val="000000"/>
        </w:rPr>
        <w:t>3.</w:t>
      </w:r>
      <w:r>
        <w:rPr>
          <w:rFonts w:ascii="Arial" w:hAnsi="Arial"/>
          <w:color w:val="000000"/>
        </w:rPr>
        <w:t>1</w:t>
      </w:r>
      <w:r>
        <w:rPr>
          <w:rFonts w:ascii="Arial" w:hAnsi="Arial"/>
          <w:color w:val="000000"/>
        </w:rPr>
        <w:t xml:space="preserve"> Patient-Initiated Laboratory Studies (February 27, 2018, Day 26)</w:t>
      </w:r>
    </w:p>
    <w:p w14:paraId="315F786A" w14:textId="3ECDF074" w:rsidR="000279D9" w:rsidRDefault="000279D9" w:rsidP="000279D9">
      <w:r>
        <w:t xml:space="preserve">Twenty-six days post-provocation, the patient independently ordered targeted laboratory studies through LabCorp based on his own research into </w:t>
      </w:r>
      <w:proofErr w:type="gramStart"/>
      <w:r>
        <w:t>the suspected</w:t>
      </w:r>
      <w:proofErr w:type="gramEnd"/>
      <w:r>
        <w:t xml:space="preserve"> pathophysiology. Rather than repeating the standard CMP/CBC panels that had already returned normal, the patient selected tests specific to the sodium-handling and volume-regulation pathway. The panel was limited to </w:t>
      </w:r>
      <w:r>
        <w:lastRenderedPageBreak/>
        <w:t>four studies: renin activity, aldosterone, urinalysis, and urine sodium.</w:t>
      </w:r>
      <w:r>
        <w:t xml:space="preserve"> </w:t>
      </w:r>
      <w:proofErr w:type="gramStart"/>
      <w:r>
        <w:t>[</w:t>
      </w:r>
      <w:proofErr w:type="gramEnd"/>
      <w:r w:rsidRPr="00564A71">
        <w:rPr>
          <w:i/>
          <w:iCs/>
        </w:rPr>
        <w:t>Not bad for a Chemical Engineer</w:t>
      </w:r>
      <w:r>
        <w:rPr>
          <w:i/>
          <w:iCs/>
        </w:rPr>
        <w:t xml:space="preserve"> with no medical training.  What test would you have ordered?</w:t>
      </w:r>
      <w:r>
        <w:t>]</w:t>
      </w:r>
    </w:p>
    <w:tbl>
      <w:tblPr>
        <w:tblStyle w:val="TableGrid"/>
        <w:tblW w:w="0" w:type="auto"/>
        <w:jc w:val="center"/>
        <w:tblLook w:val="04A0" w:firstRow="1" w:lastRow="0" w:firstColumn="1" w:lastColumn="0" w:noHBand="0" w:noVBand="1"/>
      </w:tblPr>
      <w:tblGrid>
        <w:gridCol w:w="2016"/>
        <w:gridCol w:w="1440"/>
        <w:gridCol w:w="1440"/>
        <w:gridCol w:w="4464"/>
      </w:tblGrid>
      <w:tr w:rsidR="000279D9" w14:paraId="3B4FF562" w14:textId="77777777" w:rsidTr="0053439F">
        <w:trPr>
          <w:jc w:val="center"/>
        </w:trPr>
        <w:tc>
          <w:tcPr>
            <w:tcW w:w="2016" w:type="dxa"/>
          </w:tcPr>
          <w:p w14:paraId="369B42E4" w14:textId="77777777" w:rsidR="000279D9" w:rsidRDefault="000279D9" w:rsidP="0053439F">
            <w:r>
              <w:rPr>
                <w:b/>
                <w:sz w:val="20"/>
              </w:rPr>
              <w:t>Parameter</w:t>
            </w:r>
          </w:p>
        </w:tc>
        <w:tc>
          <w:tcPr>
            <w:tcW w:w="1440" w:type="dxa"/>
          </w:tcPr>
          <w:p w14:paraId="7D61EA22" w14:textId="77777777" w:rsidR="000279D9" w:rsidRDefault="000279D9" w:rsidP="0053439F">
            <w:r>
              <w:rPr>
                <w:b/>
                <w:sz w:val="20"/>
              </w:rPr>
              <w:t>Value</w:t>
            </w:r>
          </w:p>
        </w:tc>
        <w:tc>
          <w:tcPr>
            <w:tcW w:w="1440" w:type="dxa"/>
          </w:tcPr>
          <w:p w14:paraId="30601B3B" w14:textId="77777777" w:rsidR="000279D9" w:rsidRDefault="000279D9" w:rsidP="0053439F">
            <w:r>
              <w:rPr>
                <w:b/>
                <w:sz w:val="20"/>
              </w:rPr>
              <w:t>Reference Range</w:t>
            </w:r>
          </w:p>
        </w:tc>
        <w:tc>
          <w:tcPr>
            <w:tcW w:w="4464" w:type="dxa"/>
          </w:tcPr>
          <w:p w14:paraId="72016A17" w14:textId="77777777" w:rsidR="000279D9" w:rsidRDefault="000279D9" w:rsidP="0053439F">
            <w:r>
              <w:rPr>
                <w:b/>
                <w:sz w:val="20"/>
              </w:rPr>
              <w:t>Clinical Interpretation</w:t>
            </w:r>
          </w:p>
        </w:tc>
      </w:tr>
      <w:tr w:rsidR="000279D9" w14:paraId="2FD5CFF9" w14:textId="77777777" w:rsidTr="0053439F">
        <w:trPr>
          <w:jc w:val="center"/>
        </w:trPr>
        <w:tc>
          <w:tcPr>
            <w:tcW w:w="2016" w:type="dxa"/>
          </w:tcPr>
          <w:p w14:paraId="0585825A" w14:textId="77777777" w:rsidR="000279D9" w:rsidRDefault="000279D9" w:rsidP="0053439F">
            <w:r>
              <w:rPr>
                <w:sz w:val="20"/>
              </w:rPr>
              <w:t>Renin Activity, Plasma</w:t>
            </w:r>
          </w:p>
        </w:tc>
        <w:tc>
          <w:tcPr>
            <w:tcW w:w="1440" w:type="dxa"/>
          </w:tcPr>
          <w:p w14:paraId="6DE670B0" w14:textId="77777777" w:rsidR="000279D9" w:rsidRDefault="000279D9" w:rsidP="0053439F">
            <w:r>
              <w:rPr>
                <w:sz w:val="20"/>
              </w:rPr>
              <w:t>0.564 ng/mL/</w:t>
            </w:r>
            <w:proofErr w:type="spellStart"/>
            <w:r>
              <w:rPr>
                <w:sz w:val="20"/>
              </w:rPr>
              <w:t>hr</w:t>
            </w:r>
            <w:proofErr w:type="spellEnd"/>
          </w:p>
        </w:tc>
        <w:tc>
          <w:tcPr>
            <w:tcW w:w="1440" w:type="dxa"/>
          </w:tcPr>
          <w:p w14:paraId="3C7E0068" w14:textId="77777777" w:rsidR="000279D9" w:rsidRDefault="000279D9" w:rsidP="0053439F">
            <w:r>
              <w:rPr>
                <w:sz w:val="20"/>
              </w:rPr>
              <w:t>0.167-5.380</w:t>
            </w:r>
          </w:p>
        </w:tc>
        <w:tc>
          <w:tcPr>
            <w:tcW w:w="4464" w:type="dxa"/>
          </w:tcPr>
          <w:p w14:paraId="48E261FC" w14:textId="77777777" w:rsidR="000279D9" w:rsidRDefault="000279D9" w:rsidP="0053439F">
            <w:r>
              <w:rPr>
                <w:sz w:val="20"/>
              </w:rPr>
              <w:t>Low-normal. Insufficient to account for subsequent aldosterone volatility, indicating the renin-angiotensin system is not the primary driver of aldosterone production in this patient</w:t>
            </w:r>
          </w:p>
        </w:tc>
      </w:tr>
      <w:tr w:rsidR="000279D9" w14:paraId="757B82A9" w14:textId="77777777" w:rsidTr="0053439F">
        <w:trPr>
          <w:jc w:val="center"/>
        </w:trPr>
        <w:tc>
          <w:tcPr>
            <w:tcW w:w="2016" w:type="dxa"/>
          </w:tcPr>
          <w:p w14:paraId="38984B9D" w14:textId="77777777" w:rsidR="000279D9" w:rsidRDefault="000279D9" w:rsidP="0053439F">
            <w:r>
              <w:rPr>
                <w:sz w:val="20"/>
              </w:rPr>
              <w:t>Aldosterone</w:t>
            </w:r>
          </w:p>
        </w:tc>
        <w:tc>
          <w:tcPr>
            <w:tcW w:w="1440" w:type="dxa"/>
          </w:tcPr>
          <w:p w14:paraId="45999CCD" w14:textId="77777777" w:rsidR="000279D9" w:rsidRDefault="000279D9" w:rsidP="0053439F">
            <w:r>
              <w:rPr>
                <w:sz w:val="20"/>
              </w:rPr>
              <w:t>1.5 ng/dL</w:t>
            </w:r>
          </w:p>
        </w:tc>
        <w:tc>
          <w:tcPr>
            <w:tcW w:w="1440" w:type="dxa"/>
          </w:tcPr>
          <w:p w14:paraId="31214B5A" w14:textId="77777777" w:rsidR="000279D9" w:rsidRDefault="000279D9" w:rsidP="0053439F">
            <w:r>
              <w:rPr>
                <w:sz w:val="20"/>
              </w:rPr>
              <w:t>0.0-30.0</w:t>
            </w:r>
          </w:p>
        </w:tc>
        <w:tc>
          <w:tcPr>
            <w:tcW w:w="4464" w:type="dxa"/>
          </w:tcPr>
          <w:p w14:paraId="65547E3B" w14:textId="77777777" w:rsidR="000279D9" w:rsidRDefault="000279D9" w:rsidP="0053439F">
            <w:r>
              <w:rPr>
                <w:sz w:val="20"/>
              </w:rPr>
              <w:t>Near the floor. Quadrupled to 6.5 ng/dL within two weeks (see Section 4). This volatility at low renin implicates ACTH as the primary aldosterone driver</w:t>
            </w:r>
          </w:p>
        </w:tc>
      </w:tr>
      <w:tr w:rsidR="000279D9" w14:paraId="272522FF" w14:textId="77777777" w:rsidTr="0053439F">
        <w:trPr>
          <w:jc w:val="center"/>
        </w:trPr>
        <w:tc>
          <w:tcPr>
            <w:tcW w:w="2016" w:type="dxa"/>
          </w:tcPr>
          <w:p w14:paraId="1E507672" w14:textId="77777777" w:rsidR="000279D9" w:rsidRDefault="000279D9" w:rsidP="0053439F">
            <w:r>
              <w:rPr>
                <w:sz w:val="20"/>
              </w:rPr>
              <w:t>Urine Sodium</w:t>
            </w:r>
          </w:p>
        </w:tc>
        <w:tc>
          <w:tcPr>
            <w:tcW w:w="1440" w:type="dxa"/>
          </w:tcPr>
          <w:p w14:paraId="0FDCC05E" w14:textId="77777777" w:rsidR="000279D9" w:rsidRDefault="000279D9" w:rsidP="0053439F">
            <w:r>
              <w:rPr>
                <w:sz w:val="20"/>
              </w:rPr>
              <w:t>203 mmol/L</w:t>
            </w:r>
          </w:p>
        </w:tc>
        <w:tc>
          <w:tcPr>
            <w:tcW w:w="1440" w:type="dxa"/>
          </w:tcPr>
          <w:p w14:paraId="22CC9E88" w14:textId="77777777" w:rsidR="000279D9" w:rsidRDefault="000279D9" w:rsidP="0053439F">
            <w:r>
              <w:rPr>
                <w:sz w:val="20"/>
              </w:rPr>
              <w:t>Not Established</w:t>
            </w:r>
          </w:p>
        </w:tc>
        <w:tc>
          <w:tcPr>
            <w:tcW w:w="4464" w:type="dxa"/>
          </w:tcPr>
          <w:p w14:paraId="1EEA8CB8" w14:textId="77777777" w:rsidR="000279D9" w:rsidRDefault="000279D9" w:rsidP="0053439F">
            <w:r>
              <w:rPr>
                <w:sz w:val="20"/>
              </w:rPr>
              <w:t>Massively elevated. The kidney is dumping sodium at a rate consistent with absent or ineffective aldosterone-mediated reabsorption. This is the direct measurement of the failure mode: sodium is leaving the body because nothing is telling the kidney to retain it</w:t>
            </w:r>
          </w:p>
        </w:tc>
      </w:tr>
      <w:tr w:rsidR="000279D9" w14:paraId="11454D14" w14:textId="77777777" w:rsidTr="0053439F">
        <w:trPr>
          <w:jc w:val="center"/>
        </w:trPr>
        <w:tc>
          <w:tcPr>
            <w:tcW w:w="2016" w:type="dxa"/>
          </w:tcPr>
          <w:p w14:paraId="56BC544C" w14:textId="77777777" w:rsidR="000279D9" w:rsidRDefault="000279D9" w:rsidP="0053439F">
            <w:r>
              <w:rPr>
                <w:sz w:val="20"/>
              </w:rPr>
              <w:t>Urine pH</w:t>
            </w:r>
          </w:p>
        </w:tc>
        <w:tc>
          <w:tcPr>
            <w:tcW w:w="1440" w:type="dxa"/>
          </w:tcPr>
          <w:p w14:paraId="11FAC247" w14:textId="77777777" w:rsidR="000279D9" w:rsidRDefault="000279D9" w:rsidP="0053439F">
            <w:r>
              <w:rPr>
                <w:sz w:val="20"/>
              </w:rPr>
              <w:t>7.5</w:t>
            </w:r>
          </w:p>
        </w:tc>
        <w:tc>
          <w:tcPr>
            <w:tcW w:w="1440" w:type="dxa"/>
          </w:tcPr>
          <w:p w14:paraId="5BFBC906" w14:textId="77777777" w:rsidR="000279D9" w:rsidRDefault="000279D9" w:rsidP="0053439F">
            <w:r>
              <w:rPr>
                <w:sz w:val="20"/>
              </w:rPr>
              <w:t>5.0-7.5</w:t>
            </w:r>
          </w:p>
        </w:tc>
        <w:tc>
          <w:tcPr>
            <w:tcW w:w="4464" w:type="dxa"/>
          </w:tcPr>
          <w:p w14:paraId="655BE3F6" w14:textId="77777777" w:rsidR="000279D9" w:rsidRDefault="000279D9" w:rsidP="0053439F">
            <w:r>
              <w:rPr>
                <w:sz w:val="20"/>
              </w:rPr>
              <w:t>At the ceiling of the reference range. Alkaline urine pairs with the venous pH of 7.44 measured two weeks later (3/16/2018), indicating systemic alkalosis expressed in both blood and urine compartments</w:t>
            </w:r>
          </w:p>
        </w:tc>
      </w:tr>
      <w:tr w:rsidR="000279D9" w14:paraId="09F05587" w14:textId="77777777" w:rsidTr="0053439F">
        <w:trPr>
          <w:jc w:val="center"/>
        </w:trPr>
        <w:tc>
          <w:tcPr>
            <w:tcW w:w="2016" w:type="dxa"/>
          </w:tcPr>
          <w:p w14:paraId="2AAAC3A5" w14:textId="77777777" w:rsidR="000279D9" w:rsidRDefault="000279D9" w:rsidP="0053439F">
            <w:r>
              <w:rPr>
                <w:sz w:val="20"/>
              </w:rPr>
              <w:t>Urine Specific Gravity</w:t>
            </w:r>
          </w:p>
        </w:tc>
        <w:tc>
          <w:tcPr>
            <w:tcW w:w="1440" w:type="dxa"/>
          </w:tcPr>
          <w:p w14:paraId="74206070" w14:textId="77777777" w:rsidR="000279D9" w:rsidRDefault="000279D9" w:rsidP="0053439F">
            <w:r>
              <w:rPr>
                <w:sz w:val="20"/>
              </w:rPr>
              <w:t>1.021</w:t>
            </w:r>
          </w:p>
        </w:tc>
        <w:tc>
          <w:tcPr>
            <w:tcW w:w="1440" w:type="dxa"/>
          </w:tcPr>
          <w:p w14:paraId="19209E2E" w14:textId="77777777" w:rsidR="000279D9" w:rsidRDefault="000279D9" w:rsidP="0053439F">
            <w:r>
              <w:rPr>
                <w:sz w:val="20"/>
              </w:rPr>
              <w:t>1.005-1.030</w:t>
            </w:r>
          </w:p>
        </w:tc>
        <w:tc>
          <w:tcPr>
            <w:tcW w:w="4464" w:type="dxa"/>
          </w:tcPr>
          <w:p w14:paraId="1360F6FF" w14:textId="77777777" w:rsidR="000279D9" w:rsidRDefault="000279D9" w:rsidP="0053439F">
            <w:r>
              <w:rPr>
                <w:sz w:val="20"/>
              </w:rPr>
              <w:t xml:space="preserve">Within range but below the patient's established baseline. The kidneys are not yet in conservation mode. </w:t>
            </w:r>
            <w:proofErr w:type="gramStart"/>
            <w:r>
              <w:rPr>
                <w:sz w:val="20"/>
              </w:rPr>
              <w:t>Compare</w:t>
            </w:r>
            <w:proofErr w:type="gramEnd"/>
            <w:r>
              <w:rPr>
                <w:sz w:val="20"/>
              </w:rPr>
              <w:t xml:space="preserve"> to SG 1.033 twelve days later at the time of collapse, when the kidneys had switched to maximum concentration. The shift from 1.021 to 1.033 over twelve days documents the transition from passive sodium </w:t>
            </w:r>
            <w:proofErr w:type="gramStart"/>
            <w:r>
              <w:rPr>
                <w:sz w:val="20"/>
              </w:rPr>
              <w:t>wasting</w:t>
            </w:r>
            <w:proofErr w:type="gramEnd"/>
            <w:r>
              <w:rPr>
                <w:sz w:val="20"/>
              </w:rPr>
              <w:t xml:space="preserve"> to active volume preservation as the system approached crisis</w:t>
            </w:r>
          </w:p>
        </w:tc>
      </w:tr>
    </w:tbl>
    <w:p w14:paraId="640DDB0E" w14:textId="77777777" w:rsidR="000279D9" w:rsidRDefault="000279D9" w:rsidP="000279D9"/>
    <w:p w14:paraId="02999F13" w14:textId="77777777" w:rsidR="000279D9" w:rsidRDefault="000279D9" w:rsidP="000279D9">
      <w:r>
        <w:rPr>
          <w:b/>
        </w:rPr>
        <w:t xml:space="preserve">Note on test selection: </w:t>
      </w:r>
      <w:r>
        <w:t>The patient's decision to order renin, aldosterone, urine sodium, and urinalysis rather than repeating standard panels reflects targeted hypothesis testing. These four tests, taken together, document the complete sodium-handling failure: aldosterone is not being produced (1.5 ng/dL), renin is not driving it (0.564), and sodium is leaving the body through the kidneys at a massive rate (203 mmol/L) as a direct consequence. Standard CMP would have shown sodium within normal serum range, missing the renal wasting entirely.</w:t>
      </w:r>
    </w:p>
    <w:p w14:paraId="5A786076" w14:textId="77777777" w:rsidR="000279D9" w:rsidRDefault="000279D9" w:rsidP="000279D9">
      <w:r>
        <w:t xml:space="preserve">The urine sodium of 203 mmol/L is the single most significant finding in this panel. In a volume-depleted patient with persistent orthostatic symptoms and borderline-low aldosterone, the kidneys should be retaining sodium aggressively. Instead, they are excreting it at a rate that actively worsens the volume deficit. This finding confirms that the sodium retention mechanism </w:t>
      </w:r>
      <w:r>
        <w:lastRenderedPageBreak/>
        <w:t>is fundamentally compromised, and it explains the progressive hemodynamic deterioration that culminated in collapse nine days later.</w:t>
      </w:r>
    </w:p>
    <w:p w14:paraId="5D2D5150" w14:textId="5719706D" w:rsidR="007B09A6" w:rsidRDefault="000279D9" w:rsidP="000279D9">
      <w:r>
        <w:rPr>
          <w:b/>
        </w:rPr>
        <w:t xml:space="preserve">Notable negatives (UA): </w:t>
      </w:r>
      <w:r>
        <w:t xml:space="preserve">Protein negative, glucose negative, ketones negative, blood negative, WBC esterase negative, nitrite negative, bilirubin negative. No microscopic examination indicated. The urine is chemically clean aside from the alkaline pH and sodium </w:t>
      </w:r>
      <w:proofErr w:type="gramStart"/>
      <w:r>
        <w:t>wasting</w:t>
      </w:r>
      <w:proofErr w:type="gramEnd"/>
      <w:r>
        <w:t>.</w:t>
      </w:r>
    </w:p>
    <w:p w14:paraId="76518144" w14:textId="77777777" w:rsidR="000279D9" w:rsidRDefault="000279D9"/>
    <w:p w14:paraId="2E9558E2" w14:textId="77777777" w:rsidR="007B09A6" w:rsidRDefault="00000000">
      <w:pPr>
        <w:pStyle w:val="Heading2"/>
      </w:pPr>
      <w:r>
        <w:rPr>
          <w:rFonts w:ascii="Arial" w:hAnsi="Arial"/>
          <w:color w:val="000000"/>
        </w:rPr>
        <w:t>3.2 Emergency Department Visit #2 (March 9, 2018)</w:t>
      </w:r>
    </w:p>
    <w:p w14:paraId="327FA261" w14:textId="77777777" w:rsidR="007B09A6" w:rsidRDefault="00000000">
      <w:r>
        <w:t>Studies performed: ECG, CMP, CBC, B-Type Natriuretic Peptide, CK, Troponin I, Chest XR, Urinalysis, CT abdomen without contrast.</w:t>
      </w:r>
    </w:p>
    <w:tbl>
      <w:tblPr>
        <w:tblStyle w:val="TableGrid"/>
        <w:tblW w:w="0" w:type="auto"/>
        <w:jc w:val="center"/>
        <w:tblLook w:val="04A0" w:firstRow="1" w:lastRow="0" w:firstColumn="1" w:lastColumn="0" w:noHBand="0" w:noVBand="1"/>
      </w:tblPr>
      <w:tblGrid>
        <w:gridCol w:w="1728"/>
        <w:gridCol w:w="1440"/>
        <w:gridCol w:w="1728"/>
        <w:gridCol w:w="4464"/>
      </w:tblGrid>
      <w:tr w:rsidR="007B09A6" w14:paraId="7947850D" w14:textId="77777777">
        <w:trPr>
          <w:jc w:val="center"/>
        </w:trPr>
        <w:tc>
          <w:tcPr>
            <w:tcW w:w="1728" w:type="dxa"/>
          </w:tcPr>
          <w:p w14:paraId="658539A1" w14:textId="77777777" w:rsidR="007B09A6" w:rsidRDefault="00000000">
            <w:r>
              <w:rPr>
                <w:b/>
                <w:sz w:val="20"/>
              </w:rPr>
              <w:t>Parameter</w:t>
            </w:r>
          </w:p>
        </w:tc>
        <w:tc>
          <w:tcPr>
            <w:tcW w:w="1440" w:type="dxa"/>
          </w:tcPr>
          <w:p w14:paraId="4300BFE3" w14:textId="77777777" w:rsidR="007B09A6" w:rsidRDefault="00000000">
            <w:r>
              <w:rPr>
                <w:b/>
                <w:sz w:val="20"/>
              </w:rPr>
              <w:t>Value</w:t>
            </w:r>
          </w:p>
        </w:tc>
        <w:tc>
          <w:tcPr>
            <w:tcW w:w="1728" w:type="dxa"/>
          </w:tcPr>
          <w:p w14:paraId="0ECE3E9C" w14:textId="77777777" w:rsidR="007B09A6" w:rsidRDefault="00000000">
            <w:r>
              <w:rPr>
                <w:b/>
                <w:sz w:val="20"/>
              </w:rPr>
              <w:t>Reference Range</w:t>
            </w:r>
          </w:p>
        </w:tc>
        <w:tc>
          <w:tcPr>
            <w:tcW w:w="4464" w:type="dxa"/>
          </w:tcPr>
          <w:p w14:paraId="1944A3AB" w14:textId="77777777" w:rsidR="007B09A6" w:rsidRDefault="00000000">
            <w:r>
              <w:rPr>
                <w:b/>
                <w:sz w:val="20"/>
              </w:rPr>
              <w:t>Clinical Interpretation</w:t>
            </w:r>
          </w:p>
        </w:tc>
      </w:tr>
      <w:tr w:rsidR="007B09A6" w14:paraId="4DCE4992" w14:textId="77777777">
        <w:trPr>
          <w:jc w:val="center"/>
        </w:trPr>
        <w:tc>
          <w:tcPr>
            <w:tcW w:w="1728" w:type="dxa"/>
          </w:tcPr>
          <w:p w14:paraId="47C82AD3" w14:textId="77777777" w:rsidR="007B09A6" w:rsidRDefault="00000000">
            <w:r>
              <w:rPr>
                <w:sz w:val="20"/>
              </w:rPr>
              <w:t>BUN</w:t>
            </w:r>
          </w:p>
        </w:tc>
        <w:tc>
          <w:tcPr>
            <w:tcW w:w="1440" w:type="dxa"/>
          </w:tcPr>
          <w:p w14:paraId="651FB817" w14:textId="77777777" w:rsidR="007B09A6" w:rsidRDefault="00000000">
            <w:r>
              <w:rPr>
                <w:sz w:val="20"/>
              </w:rPr>
              <w:t>27 mg/dL</w:t>
            </w:r>
          </w:p>
        </w:tc>
        <w:tc>
          <w:tcPr>
            <w:tcW w:w="1728" w:type="dxa"/>
          </w:tcPr>
          <w:p w14:paraId="0CE64996" w14:textId="77777777" w:rsidR="007B09A6" w:rsidRDefault="00000000">
            <w:r>
              <w:rPr>
                <w:sz w:val="20"/>
              </w:rPr>
              <w:t>7-20 mg/dL</w:t>
            </w:r>
          </w:p>
        </w:tc>
        <w:tc>
          <w:tcPr>
            <w:tcW w:w="4464" w:type="dxa"/>
          </w:tcPr>
          <w:p w14:paraId="79A1C34D" w14:textId="77777777" w:rsidR="007B09A6" w:rsidRDefault="00000000">
            <w:r>
              <w:rPr>
                <w:sz w:val="20"/>
              </w:rPr>
              <w:t>Prerenal azotemia. Elevated BUN with normal creatinine indicates inadequate renal perfusion secondary to volume depletion</w:t>
            </w:r>
          </w:p>
        </w:tc>
      </w:tr>
      <w:tr w:rsidR="007B09A6" w14:paraId="351A57CA" w14:textId="77777777">
        <w:trPr>
          <w:jc w:val="center"/>
        </w:trPr>
        <w:tc>
          <w:tcPr>
            <w:tcW w:w="1728" w:type="dxa"/>
          </w:tcPr>
          <w:p w14:paraId="7DE955C1" w14:textId="77777777" w:rsidR="007B09A6" w:rsidRDefault="00000000">
            <w:r>
              <w:rPr>
                <w:sz w:val="20"/>
              </w:rPr>
              <w:t>Potassium</w:t>
            </w:r>
          </w:p>
        </w:tc>
        <w:tc>
          <w:tcPr>
            <w:tcW w:w="1440" w:type="dxa"/>
          </w:tcPr>
          <w:p w14:paraId="7B8BC6A5" w14:textId="77777777" w:rsidR="007B09A6" w:rsidRDefault="00000000">
            <w:r>
              <w:rPr>
                <w:sz w:val="20"/>
              </w:rPr>
              <w:t>3.5 mEq/L</w:t>
            </w:r>
          </w:p>
        </w:tc>
        <w:tc>
          <w:tcPr>
            <w:tcW w:w="1728" w:type="dxa"/>
          </w:tcPr>
          <w:p w14:paraId="3C5099C2" w14:textId="77777777" w:rsidR="007B09A6" w:rsidRDefault="00000000">
            <w:r>
              <w:rPr>
                <w:sz w:val="20"/>
              </w:rPr>
              <w:t>3.5-5.0 mEq/L</w:t>
            </w:r>
          </w:p>
        </w:tc>
        <w:tc>
          <w:tcPr>
            <w:tcW w:w="4464" w:type="dxa"/>
          </w:tcPr>
          <w:p w14:paraId="7B277E04" w14:textId="77777777" w:rsidR="007B09A6" w:rsidRDefault="00000000">
            <w:r>
              <w:rPr>
                <w:sz w:val="20"/>
              </w:rPr>
              <w:t>Borderline low. At the floor of the reference range in a system where aldosterone-mediated potassium/sodium exchange is dysregulated</w:t>
            </w:r>
          </w:p>
        </w:tc>
      </w:tr>
      <w:tr w:rsidR="007B09A6" w14:paraId="6C8900F7" w14:textId="77777777">
        <w:trPr>
          <w:jc w:val="center"/>
        </w:trPr>
        <w:tc>
          <w:tcPr>
            <w:tcW w:w="1728" w:type="dxa"/>
          </w:tcPr>
          <w:p w14:paraId="4EA6AF6E" w14:textId="77777777" w:rsidR="007B09A6" w:rsidRDefault="00000000">
            <w:r>
              <w:rPr>
                <w:sz w:val="20"/>
              </w:rPr>
              <w:t>Specific Gravity (UA)</w:t>
            </w:r>
          </w:p>
        </w:tc>
        <w:tc>
          <w:tcPr>
            <w:tcW w:w="1440" w:type="dxa"/>
          </w:tcPr>
          <w:p w14:paraId="6BA50100" w14:textId="77777777" w:rsidR="007B09A6" w:rsidRDefault="00000000">
            <w:r>
              <w:rPr>
                <w:sz w:val="20"/>
              </w:rPr>
              <w:t>1.033</w:t>
            </w:r>
          </w:p>
        </w:tc>
        <w:tc>
          <w:tcPr>
            <w:tcW w:w="1728" w:type="dxa"/>
          </w:tcPr>
          <w:p w14:paraId="34244860" w14:textId="77777777" w:rsidR="007B09A6" w:rsidRDefault="00000000">
            <w:r>
              <w:rPr>
                <w:sz w:val="20"/>
              </w:rPr>
              <w:t>1.005-1.030</w:t>
            </w:r>
          </w:p>
        </w:tc>
        <w:tc>
          <w:tcPr>
            <w:tcW w:w="4464" w:type="dxa"/>
          </w:tcPr>
          <w:p w14:paraId="6EF94996" w14:textId="77777777" w:rsidR="007B09A6" w:rsidRDefault="00000000">
            <w:r>
              <w:rPr>
                <w:sz w:val="20"/>
              </w:rPr>
              <w:t>Above reference range. Kidneys maximally concentrating urine to preserve circulating volume</w:t>
            </w:r>
          </w:p>
        </w:tc>
      </w:tr>
      <w:tr w:rsidR="007B09A6" w14:paraId="430A2668" w14:textId="77777777">
        <w:trPr>
          <w:jc w:val="center"/>
        </w:trPr>
        <w:tc>
          <w:tcPr>
            <w:tcW w:w="1728" w:type="dxa"/>
          </w:tcPr>
          <w:p w14:paraId="5EF6FF23" w14:textId="77777777" w:rsidR="007B09A6" w:rsidRDefault="00000000">
            <w:r>
              <w:rPr>
                <w:sz w:val="20"/>
              </w:rPr>
              <w:t>MCHC</w:t>
            </w:r>
          </w:p>
        </w:tc>
        <w:tc>
          <w:tcPr>
            <w:tcW w:w="1440" w:type="dxa"/>
          </w:tcPr>
          <w:p w14:paraId="44A6C1D9" w14:textId="77777777" w:rsidR="007B09A6" w:rsidRDefault="00000000">
            <w:r>
              <w:rPr>
                <w:sz w:val="20"/>
              </w:rPr>
              <w:t>31.8 g/dL</w:t>
            </w:r>
          </w:p>
        </w:tc>
        <w:tc>
          <w:tcPr>
            <w:tcW w:w="1728" w:type="dxa"/>
          </w:tcPr>
          <w:p w14:paraId="4C677D65" w14:textId="77777777" w:rsidR="007B09A6" w:rsidRDefault="00000000">
            <w:r>
              <w:rPr>
                <w:sz w:val="20"/>
              </w:rPr>
              <w:t>32.2-36.7 g/dL</w:t>
            </w:r>
          </w:p>
        </w:tc>
        <w:tc>
          <w:tcPr>
            <w:tcW w:w="4464" w:type="dxa"/>
          </w:tcPr>
          <w:p w14:paraId="3942642F" w14:textId="77777777" w:rsidR="007B09A6" w:rsidRDefault="00000000">
            <w:r>
              <w:rPr>
                <w:sz w:val="20"/>
              </w:rPr>
              <w:t>Below range. Red blood cells carrying less hemoglobin per cell volume</w:t>
            </w:r>
          </w:p>
        </w:tc>
      </w:tr>
      <w:tr w:rsidR="007B09A6" w14:paraId="0A8CC388" w14:textId="77777777">
        <w:trPr>
          <w:jc w:val="center"/>
        </w:trPr>
        <w:tc>
          <w:tcPr>
            <w:tcW w:w="1728" w:type="dxa"/>
          </w:tcPr>
          <w:p w14:paraId="77703A9F" w14:textId="77777777" w:rsidR="007B09A6" w:rsidRDefault="00000000">
            <w:r>
              <w:rPr>
                <w:sz w:val="20"/>
              </w:rPr>
              <w:t>Eosinophils</w:t>
            </w:r>
          </w:p>
        </w:tc>
        <w:tc>
          <w:tcPr>
            <w:tcW w:w="1440" w:type="dxa"/>
          </w:tcPr>
          <w:p w14:paraId="2785D39C" w14:textId="77777777" w:rsidR="007B09A6" w:rsidRDefault="00000000">
            <w:r>
              <w:rPr>
                <w:sz w:val="20"/>
              </w:rPr>
              <w:t>0</w:t>
            </w:r>
          </w:p>
        </w:tc>
        <w:tc>
          <w:tcPr>
            <w:tcW w:w="1728" w:type="dxa"/>
          </w:tcPr>
          <w:p w14:paraId="5413C63C" w14:textId="77777777" w:rsidR="007B09A6" w:rsidRDefault="00000000">
            <w:r>
              <w:rPr>
                <w:sz w:val="20"/>
              </w:rPr>
              <w:t>Present</w:t>
            </w:r>
          </w:p>
        </w:tc>
        <w:tc>
          <w:tcPr>
            <w:tcW w:w="4464" w:type="dxa"/>
          </w:tcPr>
          <w:p w14:paraId="15A8DF57" w14:textId="77777777" w:rsidR="007B09A6" w:rsidRDefault="00000000">
            <w:r>
              <w:rPr>
                <w:sz w:val="20"/>
              </w:rPr>
              <w:t>Complete suppression. Consistent with acute stress response and immune downregulation</w:t>
            </w:r>
          </w:p>
        </w:tc>
      </w:tr>
      <w:tr w:rsidR="007B09A6" w14:paraId="645F3A24" w14:textId="77777777">
        <w:trPr>
          <w:jc w:val="center"/>
        </w:trPr>
        <w:tc>
          <w:tcPr>
            <w:tcW w:w="1728" w:type="dxa"/>
          </w:tcPr>
          <w:p w14:paraId="5535F15A" w14:textId="77777777" w:rsidR="007B09A6" w:rsidRDefault="00000000">
            <w:r>
              <w:rPr>
                <w:sz w:val="20"/>
              </w:rPr>
              <w:t>Basophils</w:t>
            </w:r>
          </w:p>
        </w:tc>
        <w:tc>
          <w:tcPr>
            <w:tcW w:w="1440" w:type="dxa"/>
          </w:tcPr>
          <w:p w14:paraId="1178E556" w14:textId="77777777" w:rsidR="007B09A6" w:rsidRDefault="00000000">
            <w:r>
              <w:rPr>
                <w:sz w:val="20"/>
              </w:rPr>
              <w:t>0</w:t>
            </w:r>
          </w:p>
        </w:tc>
        <w:tc>
          <w:tcPr>
            <w:tcW w:w="1728" w:type="dxa"/>
          </w:tcPr>
          <w:p w14:paraId="6602CD56" w14:textId="77777777" w:rsidR="007B09A6" w:rsidRDefault="00000000">
            <w:r>
              <w:rPr>
                <w:sz w:val="20"/>
              </w:rPr>
              <w:t>Present</w:t>
            </w:r>
          </w:p>
        </w:tc>
        <w:tc>
          <w:tcPr>
            <w:tcW w:w="4464" w:type="dxa"/>
          </w:tcPr>
          <w:p w14:paraId="148C45D2" w14:textId="77777777" w:rsidR="007B09A6" w:rsidRDefault="00000000">
            <w:r>
              <w:rPr>
                <w:sz w:val="20"/>
              </w:rPr>
              <w:t>Complete suppression. Same pattern as eosinophils</w:t>
            </w:r>
          </w:p>
        </w:tc>
      </w:tr>
      <w:tr w:rsidR="007B09A6" w14:paraId="656400BB" w14:textId="77777777">
        <w:trPr>
          <w:jc w:val="center"/>
        </w:trPr>
        <w:tc>
          <w:tcPr>
            <w:tcW w:w="1728" w:type="dxa"/>
          </w:tcPr>
          <w:p w14:paraId="34466167" w14:textId="77777777" w:rsidR="007B09A6" w:rsidRDefault="00000000">
            <w:r>
              <w:rPr>
                <w:sz w:val="20"/>
              </w:rPr>
              <w:t>pH (venous, 3/16)</w:t>
            </w:r>
          </w:p>
        </w:tc>
        <w:tc>
          <w:tcPr>
            <w:tcW w:w="1440" w:type="dxa"/>
          </w:tcPr>
          <w:p w14:paraId="0B137C98" w14:textId="77777777" w:rsidR="007B09A6" w:rsidRDefault="00000000">
            <w:r>
              <w:rPr>
                <w:sz w:val="20"/>
              </w:rPr>
              <w:t>7.44</w:t>
            </w:r>
          </w:p>
        </w:tc>
        <w:tc>
          <w:tcPr>
            <w:tcW w:w="1728" w:type="dxa"/>
          </w:tcPr>
          <w:p w14:paraId="059F9456" w14:textId="77777777" w:rsidR="007B09A6" w:rsidRDefault="00000000">
            <w:r>
              <w:rPr>
                <w:sz w:val="20"/>
              </w:rPr>
              <w:t>7.32-7.42</w:t>
            </w:r>
          </w:p>
        </w:tc>
        <w:tc>
          <w:tcPr>
            <w:tcW w:w="4464" w:type="dxa"/>
          </w:tcPr>
          <w:p w14:paraId="560A54CC" w14:textId="77777777" w:rsidR="007B09A6" w:rsidRDefault="00000000">
            <w:r>
              <w:rPr>
                <w:sz w:val="20"/>
              </w:rPr>
              <w:t>High. Venous alkalosis indicates active compensatory buffering. Respiratory or metabolic alkalosis in a volume-depleted system</w:t>
            </w:r>
          </w:p>
        </w:tc>
      </w:tr>
      <w:tr w:rsidR="007B09A6" w14:paraId="42BC1816" w14:textId="77777777">
        <w:trPr>
          <w:jc w:val="center"/>
        </w:trPr>
        <w:tc>
          <w:tcPr>
            <w:tcW w:w="1728" w:type="dxa"/>
          </w:tcPr>
          <w:p w14:paraId="487CF1FB" w14:textId="77777777" w:rsidR="007B09A6" w:rsidRDefault="00000000">
            <w:r>
              <w:rPr>
                <w:sz w:val="20"/>
              </w:rPr>
              <w:t>Lactic acid (3/16)</w:t>
            </w:r>
          </w:p>
        </w:tc>
        <w:tc>
          <w:tcPr>
            <w:tcW w:w="1440" w:type="dxa"/>
          </w:tcPr>
          <w:p w14:paraId="7C5C012C" w14:textId="77777777" w:rsidR="007B09A6" w:rsidRDefault="00000000">
            <w:r>
              <w:rPr>
                <w:sz w:val="20"/>
              </w:rPr>
              <w:t>1.0 mmol/L</w:t>
            </w:r>
          </w:p>
        </w:tc>
        <w:tc>
          <w:tcPr>
            <w:tcW w:w="1728" w:type="dxa"/>
          </w:tcPr>
          <w:p w14:paraId="70A5F0C3" w14:textId="77777777" w:rsidR="007B09A6" w:rsidRDefault="00000000">
            <w:r>
              <w:rPr>
                <w:sz w:val="20"/>
              </w:rPr>
              <w:t>0.3-2.0 mmol/L</w:t>
            </w:r>
          </w:p>
        </w:tc>
        <w:tc>
          <w:tcPr>
            <w:tcW w:w="4464" w:type="dxa"/>
          </w:tcPr>
          <w:p w14:paraId="29126BBE" w14:textId="77777777" w:rsidR="007B09A6" w:rsidRDefault="00000000">
            <w:r>
              <w:rPr>
                <w:sz w:val="20"/>
              </w:rPr>
              <w:t>Normal. Rules out anaerobic metabolism despite perfusion compromise, suggesting adequate tissue oxygenation through compensatory mechanisms</w:t>
            </w:r>
          </w:p>
        </w:tc>
      </w:tr>
    </w:tbl>
    <w:p w14:paraId="44F4E972" w14:textId="77777777" w:rsidR="007B09A6" w:rsidRDefault="007B09A6"/>
    <w:p w14:paraId="02AC9202" w14:textId="77777777" w:rsidR="007B09A6" w:rsidRDefault="00000000">
      <w:r>
        <w:rPr>
          <w:b/>
        </w:rPr>
        <w:t xml:space="preserve">Notable negatives: </w:t>
      </w:r>
      <w:r>
        <w:t>Troponin I, BNP, CK, ECG, CT head, CT abdomen, chest XR all within normal limits. No structural cardiac, pulmonary, or intracranial pathology identified.</w:t>
      </w:r>
    </w:p>
    <w:p w14:paraId="0A53DC1D" w14:textId="29747288" w:rsidR="007B09A6" w:rsidRDefault="007B09A6"/>
    <w:p w14:paraId="4E2FFE3B" w14:textId="77777777" w:rsidR="007B09A6" w:rsidRDefault="00000000">
      <w:pPr>
        <w:pStyle w:val="Heading2"/>
      </w:pPr>
      <w:r>
        <w:rPr>
          <w:rFonts w:ascii="Arial" w:hAnsi="Arial"/>
          <w:color w:val="000000"/>
        </w:rPr>
        <w:lastRenderedPageBreak/>
        <w:t>3.3 Hemodynamic Data (April-October 2018)</w:t>
      </w:r>
    </w:p>
    <w:p w14:paraId="2238F208" w14:textId="77777777" w:rsidR="007B09A6" w:rsidRDefault="00000000">
      <w:r>
        <w:t>Serial vital signs obtained during follow-up visits demonstrate persistent hypotension through six weeks post-provocation, followed by gradual compensation and eventual overshoot.</w:t>
      </w:r>
    </w:p>
    <w:tbl>
      <w:tblPr>
        <w:tblStyle w:val="TableGrid"/>
        <w:tblW w:w="0" w:type="auto"/>
        <w:jc w:val="center"/>
        <w:tblLook w:val="04A0" w:firstRow="1" w:lastRow="0" w:firstColumn="1" w:lastColumn="0" w:noHBand="0" w:noVBand="1"/>
      </w:tblPr>
      <w:tblGrid>
        <w:gridCol w:w="2340"/>
        <w:gridCol w:w="2340"/>
        <w:gridCol w:w="2340"/>
        <w:gridCol w:w="2340"/>
      </w:tblGrid>
      <w:tr w:rsidR="007B09A6" w14:paraId="5B97471E" w14:textId="77777777">
        <w:trPr>
          <w:jc w:val="center"/>
        </w:trPr>
        <w:tc>
          <w:tcPr>
            <w:tcW w:w="2340" w:type="dxa"/>
          </w:tcPr>
          <w:p w14:paraId="7DA9D327" w14:textId="77777777" w:rsidR="007B09A6" w:rsidRDefault="00000000">
            <w:r>
              <w:rPr>
                <w:b/>
                <w:sz w:val="20"/>
              </w:rPr>
              <w:t>Date</w:t>
            </w:r>
          </w:p>
        </w:tc>
        <w:tc>
          <w:tcPr>
            <w:tcW w:w="2340" w:type="dxa"/>
          </w:tcPr>
          <w:p w14:paraId="77166C7C" w14:textId="77777777" w:rsidR="007B09A6" w:rsidRDefault="00000000">
            <w:r>
              <w:rPr>
                <w:b/>
                <w:sz w:val="20"/>
              </w:rPr>
              <w:t>BP (mmHg)</w:t>
            </w:r>
          </w:p>
        </w:tc>
        <w:tc>
          <w:tcPr>
            <w:tcW w:w="2340" w:type="dxa"/>
          </w:tcPr>
          <w:p w14:paraId="324CD1DA" w14:textId="77777777" w:rsidR="007B09A6" w:rsidRDefault="00000000">
            <w:r>
              <w:rPr>
                <w:b/>
                <w:sz w:val="20"/>
              </w:rPr>
              <w:t>Pulse (bpm)</w:t>
            </w:r>
          </w:p>
        </w:tc>
        <w:tc>
          <w:tcPr>
            <w:tcW w:w="2340" w:type="dxa"/>
          </w:tcPr>
          <w:p w14:paraId="481B54F6" w14:textId="77777777" w:rsidR="007B09A6" w:rsidRDefault="00000000">
            <w:r>
              <w:rPr>
                <w:b/>
                <w:sz w:val="20"/>
              </w:rPr>
              <w:t>Resp (br/min)</w:t>
            </w:r>
          </w:p>
        </w:tc>
      </w:tr>
      <w:tr w:rsidR="007B09A6" w14:paraId="62623F31" w14:textId="77777777">
        <w:trPr>
          <w:jc w:val="center"/>
        </w:trPr>
        <w:tc>
          <w:tcPr>
            <w:tcW w:w="2340" w:type="dxa"/>
          </w:tcPr>
          <w:p w14:paraId="55903D5D" w14:textId="77777777" w:rsidR="007B09A6" w:rsidRDefault="00000000">
            <w:r>
              <w:rPr>
                <w:sz w:val="20"/>
              </w:rPr>
              <w:t>4/18/2018</w:t>
            </w:r>
          </w:p>
        </w:tc>
        <w:tc>
          <w:tcPr>
            <w:tcW w:w="2340" w:type="dxa"/>
          </w:tcPr>
          <w:p w14:paraId="198EEF1B" w14:textId="77777777" w:rsidR="007B09A6" w:rsidRDefault="00000000">
            <w:r>
              <w:rPr>
                <w:sz w:val="20"/>
              </w:rPr>
              <w:t>100/60</w:t>
            </w:r>
          </w:p>
        </w:tc>
        <w:tc>
          <w:tcPr>
            <w:tcW w:w="2340" w:type="dxa"/>
          </w:tcPr>
          <w:p w14:paraId="1B779BE1" w14:textId="77777777" w:rsidR="007B09A6" w:rsidRDefault="00000000">
            <w:r>
              <w:rPr>
                <w:sz w:val="20"/>
              </w:rPr>
              <w:t>88</w:t>
            </w:r>
          </w:p>
        </w:tc>
        <w:tc>
          <w:tcPr>
            <w:tcW w:w="2340" w:type="dxa"/>
          </w:tcPr>
          <w:p w14:paraId="56A3BBA3" w14:textId="77777777" w:rsidR="007B09A6" w:rsidRDefault="00000000">
            <w:r>
              <w:rPr>
                <w:sz w:val="20"/>
              </w:rPr>
              <w:t>18</w:t>
            </w:r>
          </w:p>
        </w:tc>
      </w:tr>
      <w:tr w:rsidR="007B09A6" w14:paraId="4C809471" w14:textId="77777777">
        <w:trPr>
          <w:jc w:val="center"/>
        </w:trPr>
        <w:tc>
          <w:tcPr>
            <w:tcW w:w="2340" w:type="dxa"/>
          </w:tcPr>
          <w:p w14:paraId="6E1F38FA" w14:textId="77777777" w:rsidR="007B09A6" w:rsidRDefault="00000000">
            <w:r>
              <w:rPr>
                <w:sz w:val="20"/>
              </w:rPr>
              <w:t>4/19/2018</w:t>
            </w:r>
          </w:p>
        </w:tc>
        <w:tc>
          <w:tcPr>
            <w:tcW w:w="2340" w:type="dxa"/>
          </w:tcPr>
          <w:p w14:paraId="3ED9CA87" w14:textId="77777777" w:rsidR="007B09A6" w:rsidRDefault="00000000">
            <w:r>
              <w:rPr>
                <w:sz w:val="20"/>
              </w:rPr>
              <w:t>97/69</w:t>
            </w:r>
          </w:p>
        </w:tc>
        <w:tc>
          <w:tcPr>
            <w:tcW w:w="2340" w:type="dxa"/>
          </w:tcPr>
          <w:p w14:paraId="443B72B0" w14:textId="77777777" w:rsidR="007B09A6" w:rsidRDefault="00000000">
            <w:r>
              <w:rPr>
                <w:sz w:val="20"/>
              </w:rPr>
              <w:t>70</w:t>
            </w:r>
          </w:p>
        </w:tc>
        <w:tc>
          <w:tcPr>
            <w:tcW w:w="2340" w:type="dxa"/>
          </w:tcPr>
          <w:p w14:paraId="37AB9504" w14:textId="77777777" w:rsidR="007B09A6" w:rsidRDefault="00000000">
            <w:r>
              <w:rPr>
                <w:sz w:val="20"/>
              </w:rPr>
              <w:t>21</w:t>
            </w:r>
          </w:p>
        </w:tc>
      </w:tr>
      <w:tr w:rsidR="007B09A6" w14:paraId="72594224" w14:textId="77777777">
        <w:trPr>
          <w:jc w:val="center"/>
        </w:trPr>
        <w:tc>
          <w:tcPr>
            <w:tcW w:w="2340" w:type="dxa"/>
          </w:tcPr>
          <w:p w14:paraId="7BCB92A8" w14:textId="77777777" w:rsidR="007B09A6" w:rsidRDefault="00000000">
            <w:r>
              <w:rPr>
                <w:sz w:val="20"/>
              </w:rPr>
              <w:t>4/19/2018</w:t>
            </w:r>
          </w:p>
        </w:tc>
        <w:tc>
          <w:tcPr>
            <w:tcW w:w="2340" w:type="dxa"/>
          </w:tcPr>
          <w:p w14:paraId="4BC62E8B" w14:textId="77777777" w:rsidR="007B09A6" w:rsidRDefault="00000000">
            <w:r>
              <w:rPr>
                <w:sz w:val="20"/>
              </w:rPr>
              <w:t>90/54</w:t>
            </w:r>
          </w:p>
        </w:tc>
        <w:tc>
          <w:tcPr>
            <w:tcW w:w="2340" w:type="dxa"/>
          </w:tcPr>
          <w:p w14:paraId="0CF4598D" w14:textId="77777777" w:rsidR="007B09A6" w:rsidRDefault="00000000">
            <w:r>
              <w:rPr>
                <w:sz w:val="20"/>
              </w:rPr>
              <w:t>66</w:t>
            </w:r>
          </w:p>
        </w:tc>
        <w:tc>
          <w:tcPr>
            <w:tcW w:w="2340" w:type="dxa"/>
          </w:tcPr>
          <w:p w14:paraId="151C1B8A" w14:textId="77777777" w:rsidR="007B09A6" w:rsidRDefault="00000000">
            <w:r>
              <w:rPr>
                <w:sz w:val="20"/>
              </w:rPr>
              <w:t>14</w:t>
            </w:r>
          </w:p>
        </w:tc>
      </w:tr>
      <w:tr w:rsidR="007B09A6" w14:paraId="0D21AD89" w14:textId="77777777">
        <w:trPr>
          <w:jc w:val="center"/>
        </w:trPr>
        <w:tc>
          <w:tcPr>
            <w:tcW w:w="2340" w:type="dxa"/>
          </w:tcPr>
          <w:p w14:paraId="654B4414" w14:textId="77777777" w:rsidR="007B09A6" w:rsidRDefault="00000000">
            <w:r>
              <w:rPr>
                <w:sz w:val="20"/>
              </w:rPr>
              <w:t>4/30/2018</w:t>
            </w:r>
          </w:p>
        </w:tc>
        <w:tc>
          <w:tcPr>
            <w:tcW w:w="2340" w:type="dxa"/>
          </w:tcPr>
          <w:p w14:paraId="137FADC7" w14:textId="77777777" w:rsidR="007B09A6" w:rsidRDefault="00000000">
            <w:r>
              <w:rPr>
                <w:sz w:val="20"/>
              </w:rPr>
              <w:t>126/76</w:t>
            </w:r>
          </w:p>
        </w:tc>
        <w:tc>
          <w:tcPr>
            <w:tcW w:w="2340" w:type="dxa"/>
          </w:tcPr>
          <w:p w14:paraId="243A5E19" w14:textId="77777777" w:rsidR="007B09A6" w:rsidRDefault="00000000">
            <w:r>
              <w:rPr>
                <w:sz w:val="20"/>
              </w:rPr>
              <w:t>74</w:t>
            </w:r>
          </w:p>
        </w:tc>
        <w:tc>
          <w:tcPr>
            <w:tcW w:w="2340" w:type="dxa"/>
          </w:tcPr>
          <w:p w14:paraId="6E389E66" w14:textId="77777777" w:rsidR="007B09A6" w:rsidRDefault="00000000">
            <w:r>
              <w:rPr>
                <w:sz w:val="20"/>
              </w:rPr>
              <w:t>--</w:t>
            </w:r>
          </w:p>
        </w:tc>
      </w:tr>
      <w:tr w:rsidR="007B09A6" w14:paraId="21EBAA43" w14:textId="77777777">
        <w:trPr>
          <w:jc w:val="center"/>
        </w:trPr>
        <w:tc>
          <w:tcPr>
            <w:tcW w:w="2340" w:type="dxa"/>
          </w:tcPr>
          <w:p w14:paraId="600B2B9F" w14:textId="77777777" w:rsidR="007B09A6" w:rsidRDefault="00000000">
            <w:r>
              <w:rPr>
                <w:sz w:val="20"/>
              </w:rPr>
              <w:t>10/2/2018</w:t>
            </w:r>
          </w:p>
        </w:tc>
        <w:tc>
          <w:tcPr>
            <w:tcW w:w="2340" w:type="dxa"/>
          </w:tcPr>
          <w:p w14:paraId="27955E36" w14:textId="77777777" w:rsidR="007B09A6" w:rsidRDefault="00000000">
            <w:r>
              <w:rPr>
                <w:sz w:val="20"/>
              </w:rPr>
              <w:t>139/90</w:t>
            </w:r>
          </w:p>
        </w:tc>
        <w:tc>
          <w:tcPr>
            <w:tcW w:w="2340" w:type="dxa"/>
          </w:tcPr>
          <w:p w14:paraId="284C033A" w14:textId="77777777" w:rsidR="007B09A6" w:rsidRDefault="00000000">
            <w:r>
              <w:rPr>
                <w:sz w:val="20"/>
              </w:rPr>
              <w:t>72</w:t>
            </w:r>
          </w:p>
        </w:tc>
        <w:tc>
          <w:tcPr>
            <w:tcW w:w="2340" w:type="dxa"/>
          </w:tcPr>
          <w:p w14:paraId="07249819" w14:textId="77777777" w:rsidR="007B09A6" w:rsidRDefault="00000000">
            <w:r>
              <w:rPr>
                <w:sz w:val="20"/>
              </w:rPr>
              <w:t>13</w:t>
            </w:r>
          </w:p>
        </w:tc>
      </w:tr>
    </w:tbl>
    <w:p w14:paraId="68EF8223" w14:textId="77777777" w:rsidR="007B09A6" w:rsidRDefault="007B09A6"/>
    <w:p w14:paraId="47606297" w14:textId="77777777" w:rsidR="007B09A6" w:rsidRDefault="00000000">
      <w:r>
        <w:rPr>
          <w:b/>
        </w:rPr>
        <w:t xml:space="preserve">Key observations: </w:t>
      </w:r>
      <w:r>
        <w:t>Blood pressure of 90/54 represents near-shock territory. This reading was obtained after two units of IV normal saline, indicating that the patient is not volume-responsive in the expected manner. Fluids are not remaining in the vascular compartment. Despite hemodynamically significant hypotension, heart rate remained in the 60s-70s without compensatory tachycardia, and the patient never lost consciousness. Post-saline discharge BP was 95/XX. The system required approximately three months to achieve normotensive readings, followed by an apparent overshoot to 139/90 by October 2018.</w:t>
      </w:r>
    </w:p>
    <w:p w14:paraId="57B30795" w14:textId="77777777" w:rsidR="007B09A6" w:rsidRDefault="00000000">
      <w:pPr>
        <w:pStyle w:val="Heading1"/>
      </w:pPr>
      <w:r>
        <w:rPr>
          <w:rFonts w:ascii="Arial" w:hAnsi="Arial"/>
          <w:color w:val="000000"/>
        </w:rPr>
        <w:t>4. Longitudinal Endocrine Data (2010-2026)</w:t>
      </w:r>
    </w:p>
    <w:p w14:paraId="0A36B8F9" w14:textId="77777777" w:rsidR="007B09A6" w:rsidRDefault="00000000">
      <w:pPr>
        <w:pStyle w:val="Heading2"/>
      </w:pPr>
      <w:r>
        <w:rPr>
          <w:rFonts w:ascii="Arial" w:hAnsi="Arial"/>
          <w:color w:val="000000"/>
        </w:rPr>
        <w:t>4.1 Cortisol (AM, serum)</w:t>
      </w:r>
    </w:p>
    <w:tbl>
      <w:tblPr>
        <w:tblStyle w:val="TableGrid"/>
        <w:tblW w:w="0" w:type="auto"/>
        <w:jc w:val="center"/>
        <w:tblLook w:val="04A0" w:firstRow="1" w:lastRow="0" w:firstColumn="1" w:lastColumn="0" w:noHBand="0" w:noVBand="1"/>
      </w:tblPr>
      <w:tblGrid>
        <w:gridCol w:w="3120"/>
        <w:gridCol w:w="3120"/>
        <w:gridCol w:w="3120"/>
      </w:tblGrid>
      <w:tr w:rsidR="007B09A6" w14:paraId="566FF909" w14:textId="77777777">
        <w:trPr>
          <w:jc w:val="center"/>
        </w:trPr>
        <w:tc>
          <w:tcPr>
            <w:tcW w:w="3120" w:type="dxa"/>
          </w:tcPr>
          <w:p w14:paraId="7062D3C3" w14:textId="77777777" w:rsidR="007B09A6" w:rsidRDefault="00000000">
            <w:r>
              <w:rPr>
                <w:b/>
                <w:sz w:val="20"/>
              </w:rPr>
              <w:t>Date</w:t>
            </w:r>
          </w:p>
        </w:tc>
        <w:tc>
          <w:tcPr>
            <w:tcW w:w="3120" w:type="dxa"/>
          </w:tcPr>
          <w:p w14:paraId="1A62DF98" w14:textId="77777777" w:rsidR="007B09A6" w:rsidRDefault="00000000">
            <w:r>
              <w:rPr>
                <w:b/>
                <w:sz w:val="20"/>
              </w:rPr>
              <w:t>Value (mcg/dL)</w:t>
            </w:r>
          </w:p>
        </w:tc>
        <w:tc>
          <w:tcPr>
            <w:tcW w:w="3120" w:type="dxa"/>
          </w:tcPr>
          <w:p w14:paraId="5E289884" w14:textId="77777777" w:rsidR="007B09A6" w:rsidRDefault="00000000">
            <w:r>
              <w:rPr>
                <w:b/>
                <w:sz w:val="20"/>
              </w:rPr>
              <w:t>Reference Range</w:t>
            </w:r>
          </w:p>
        </w:tc>
      </w:tr>
      <w:tr w:rsidR="007B09A6" w14:paraId="25249B4D" w14:textId="77777777">
        <w:trPr>
          <w:jc w:val="center"/>
        </w:trPr>
        <w:tc>
          <w:tcPr>
            <w:tcW w:w="3120" w:type="dxa"/>
          </w:tcPr>
          <w:p w14:paraId="20B1BC7E" w14:textId="77777777" w:rsidR="007B09A6" w:rsidRDefault="00000000">
            <w:r>
              <w:rPr>
                <w:sz w:val="20"/>
              </w:rPr>
              <w:t>Feb 4, 2010</w:t>
            </w:r>
          </w:p>
        </w:tc>
        <w:tc>
          <w:tcPr>
            <w:tcW w:w="3120" w:type="dxa"/>
          </w:tcPr>
          <w:p w14:paraId="5D98E8AA" w14:textId="77777777" w:rsidR="007B09A6" w:rsidRDefault="00000000">
            <w:r>
              <w:rPr>
                <w:sz w:val="20"/>
              </w:rPr>
              <w:t>13.2</w:t>
            </w:r>
          </w:p>
        </w:tc>
        <w:tc>
          <w:tcPr>
            <w:tcW w:w="3120" w:type="dxa"/>
          </w:tcPr>
          <w:p w14:paraId="4E22B91E" w14:textId="77777777" w:rsidR="007B09A6" w:rsidRDefault="00000000">
            <w:r>
              <w:rPr>
                <w:sz w:val="20"/>
              </w:rPr>
              <w:t>2.9-19.4</w:t>
            </w:r>
          </w:p>
        </w:tc>
      </w:tr>
      <w:tr w:rsidR="007B09A6" w14:paraId="260B56CA" w14:textId="77777777">
        <w:trPr>
          <w:jc w:val="center"/>
        </w:trPr>
        <w:tc>
          <w:tcPr>
            <w:tcW w:w="3120" w:type="dxa"/>
          </w:tcPr>
          <w:p w14:paraId="0866A5ED" w14:textId="77777777" w:rsidR="007B09A6" w:rsidRDefault="00000000">
            <w:r>
              <w:rPr>
                <w:sz w:val="20"/>
              </w:rPr>
              <w:t>Dec 10, 2012</w:t>
            </w:r>
          </w:p>
        </w:tc>
        <w:tc>
          <w:tcPr>
            <w:tcW w:w="3120" w:type="dxa"/>
          </w:tcPr>
          <w:p w14:paraId="64F83D7A" w14:textId="77777777" w:rsidR="007B09A6" w:rsidRDefault="00000000">
            <w:r>
              <w:rPr>
                <w:sz w:val="20"/>
              </w:rPr>
              <w:t>10.3</w:t>
            </w:r>
          </w:p>
        </w:tc>
        <w:tc>
          <w:tcPr>
            <w:tcW w:w="3120" w:type="dxa"/>
          </w:tcPr>
          <w:p w14:paraId="225B5CFF" w14:textId="77777777" w:rsidR="007B09A6" w:rsidRDefault="00000000">
            <w:r>
              <w:rPr>
                <w:sz w:val="20"/>
              </w:rPr>
              <w:t>2.9-19.4</w:t>
            </w:r>
          </w:p>
        </w:tc>
      </w:tr>
      <w:tr w:rsidR="007B09A6" w14:paraId="0502D9B3" w14:textId="77777777">
        <w:trPr>
          <w:jc w:val="center"/>
        </w:trPr>
        <w:tc>
          <w:tcPr>
            <w:tcW w:w="3120" w:type="dxa"/>
          </w:tcPr>
          <w:p w14:paraId="1C0D470C" w14:textId="77777777" w:rsidR="007B09A6" w:rsidRDefault="00000000">
            <w:r>
              <w:rPr>
                <w:sz w:val="20"/>
              </w:rPr>
              <w:t>Apr 13, 2022</w:t>
            </w:r>
          </w:p>
        </w:tc>
        <w:tc>
          <w:tcPr>
            <w:tcW w:w="3120" w:type="dxa"/>
          </w:tcPr>
          <w:p w14:paraId="446B4BA9" w14:textId="77777777" w:rsidR="007B09A6" w:rsidRDefault="00000000">
            <w:r>
              <w:rPr>
                <w:sz w:val="20"/>
              </w:rPr>
              <w:t>11.5</w:t>
            </w:r>
          </w:p>
        </w:tc>
        <w:tc>
          <w:tcPr>
            <w:tcW w:w="3120" w:type="dxa"/>
          </w:tcPr>
          <w:p w14:paraId="634263FD" w14:textId="77777777" w:rsidR="007B09A6" w:rsidRDefault="00000000">
            <w:r>
              <w:rPr>
                <w:sz w:val="20"/>
              </w:rPr>
              <w:t>AM 3.7-19.4</w:t>
            </w:r>
          </w:p>
        </w:tc>
      </w:tr>
      <w:tr w:rsidR="007B09A6" w14:paraId="3A2D78D8" w14:textId="77777777">
        <w:trPr>
          <w:jc w:val="center"/>
        </w:trPr>
        <w:tc>
          <w:tcPr>
            <w:tcW w:w="3120" w:type="dxa"/>
          </w:tcPr>
          <w:p w14:paraId="59665402" w14:textId="77777777" w:rsidR="007B09A6" w:rsidRDefault="00000000">
            <w:r>
              <w:rPr>
                <w:sz w:val="20"/>
              </w:rPr>
              <w:t>April 2026</w:t>
            </w:r>
          </w:p>
        </w:tc>
        <w:tc>
          <w:tcPr>
            <w:tcW w:w="3120" w:type="dxa"/>
          </w:tcPr>
          <w:p w14:paraId="45B1C278" w14:textId="77777777" w:rsidR="007B09A6" w:rsidRDefault="00000000">
            <w:r>
              <w:rPr>
                <w:sz w:val="20"/>
              </w:rPr>
              <w:t>13.2</w:t>
            </w:r>
          </w:p>
        </w:tc>
        <w:tc>
          <w:tcPr>
            <w:tcW w:w="3120" w:type="dxa"/>
          </w:tcPr>
          <w:p w14:paraId="4F7E4518" w14:textId="77777777" w:rsidR="007B09A6" w:rsidRDefault="00000000">
            <w:r>
              <w:rPr>
                <w:sz w:val="20"/>
              </w:rPr>
              <w:t>AM 3.7-19.4</w:t>
            </w:r>
          </w:p>
        </w:tc>
      </w:tr>
    </w:tbl>
    <w:p w14:paraId="7D81C91C" w14:textId="77777777" w:rsidR="007B09A6" w:rsidRDefault="007B09A6"/>
    <w:p w14:paraId="770D44C9" w14:textId="77777777" w:rsidR="007B09A6" w:rsidRDefault="00000000">
      <w:r>
        <w:t>Cortisol output remains within a narrow band (10.3-13.2 mcg/dL) across 16 years of observation. This stability is itself significant when paired with the aldosterone trajectory below.</w:t>
      </w:r>
    </w:p>
    <w:p w14:paraId="5314B88C" w14:textId="77777777" w:rsidR="007B09A6" w:rsidRDefault="00000000">
      <w:pPr>
        <w:pStyle w:val="Heading2"/>
      </w:pPr>
      <w:r>
        <w:rPr>
          <w:rFonts w:ascii="Arial" w:hAnsi="Arial"/>
          <w:color w:val="000000"/>
        </w:rPr>
        <w:t>4.2 Aldosterone</w:t>
      </w:r>
    </w:p>
    <w:tbl>
      <w:tblPr>
        <w:tblStyle w:val="TableGrid"/>
        <w:tblW w:w="0" w:type="auto"/>
        <w:jc w:val="center"/>
        <w:tblLook w:val="04A0" w:firstRow="1" w:lastRow="0" w:firstColumn="1" w:lastColumn="0" w:noHBand="0" w:noVBand="1"/>
      </w:tblPr>
      <w:tblGrid>
        <w:gridCol w:w="3120"/>
        <w:gridCol w:w="3120"/>
        <w:gridCol w:w="3120"/>
      </w:tblGrid>
      <w:tr w:rsidR="007B09A6" w14:paraId="7C918012" w14:textId="77777777">
        <w:trPr>
          <w:jc w:val="center"/>
        </w:trPr>
        <w:tc>
          <w:tcPr>
            <w:tcW w:w="3120" w:type="dxa"/>
          </w:tcPr>
          <w:p w14:paraId="5CF8B17E" w14:textId="77777777" w:rsidR="007B09A6" w:rsidRDefault="00000000">
            <w:r>
              <w:rPr>
                <w:b/>
                <w:sz w:val="20"/>
              </w:rPr>
              <w:t>Date</w:t>
            </w:r>
          </w:p>
        </w:tc>
        <w:tc>
          <w:tcPr>
            <w:tcW w:w="3120" w:type="dxa"/>
          </w:tcPr>
          <w:p w14:paraId="4BBE186C" w14:textId="77777777" w:rsidR="007B09A6" w:rsidRDefault="00000000">
            <w:r>
              <w:rPr>
                <w:b/>
                <w:sz w:val="20"/>
              </w:rPr>
              <w:t>Value (ng/dL)</w:t>
            </w:r>
          </w:p>
        </w:tc>
        <w:tc>
          <w:tcPr>
            <w:tcW w:w="3120" w:type="dxa"/>
          </w:tcPr>
          <w:p w14:paraId="56BBC56B" w14:textId="77777777" w:rsidR="007B09A6" w:rsidRDefault="00000000">
            <w:r>
              <w:rPr>
                <w:b/>
                <w:sz w:val="20"/>
              </w:rPr>
              <w:t>Context</w:t>
            </w:r>
          </w:p>
        </w:tc>
      </w:tr>
      <w:tr w:rsidR="007B09A6" w14:paraId="6E561A00" w14:textId="77777777">
        <w:trPr>
          <w:jc w:val="center"/>
        </w:trPr>
        <w:tc>
          <w:tcPr>
            <w:tcW w:w="3120" w:type="dxa"/>
          </w:tcPr>
          <w:p w14:paraId="74EB2973" w14:textId="77777777" w:rsidR="007B09A6" w:rsidRDefault="00000000">
            <w:r>
              <w:rPr>
                <w:sz w:val="20"/>
              </w:rPr>
              <w:t>Feb 27, 2018</w:t>
            </w:r>
          </w:p>
        </w:tc>
        <w:tc>
          <w:tcPr>
            <w:tcW w:w="3120" w:type="dxa"/>
          </w:tcPr>
          <w:p w14:paraId="7CA204CE" w14:textId="77777777" w:rsidR="007B09A6" w:rsidRDefault="00000000">
            <w:r>
              <w:rPr>
                <w:sz w:val="20"/>
              </w:rPr>
              <w:t>1.5</w:t>
            </w:r>
          </w:p>
        </w:tc>
        <w:tc>
          <w:tcPr>
            <w:tcW w:w="3120" w:type="dxa"/>
          </w:tcPr>
          <w:p w14:paraId="6E9F3F8E" w14:textId="77777777" w:rsidR="007B09A6" w:rsidRDefault="00000000">
            <w:r>
              <w:rPr>
                <w:sz w:val="20"/>
              </w:rPr>
              <w:t>24 days post-donation; pre-collapse. Renin 0.564 ng/mL/hr</w:t>
            </w:r>
          </w:p>
        </w:tc>
      </w:tr>
      <w:tr w:rsidR="007B09A6" w14:paraId="32FDAAFF" w14:textId="77777777">
        <w:trPr>
          <w:jc w:val="center"/>
        </w:trPr>
        <w:tc>
          <w:tcPr>
            <w:tcW w:w="3120" w:type="dxa"/>
          </w:tcPr>
          <w:p w14:paraId="78307618" w14:textId="77777777" w:rsidR="007B09A6" w:rsidRDefault="00000000">
            <w:r>
              <w:rPr>
                <w:sz w:val="20"/>
              </w:rPr>
              <w:t>Mar 14, 2018</w:t>
            </w:r>
          </w:p>
        </w:tc>
        <w:tc>
          <w:tcPr>
            <w:tcW w:w="3120" w:type="dxa"/>
          </w:tcPr>
          <w:p w14:paraId="762F7FE9" w14:textId="77777777" w:rsidR="007B09A6" w:rsidRDefault="00000000">
            <w:r>
              <w:rPr>
                <w:sz w:val="20"/>
              </w:rPr>
              <w:t>6.5</w:t>
            </w:r>
          </w:p>
        </w:tc>
        <w:tc>
          <w:tcPr>
            <w:tcW w:w="3120" w:type="dxa"/>
          </w:tcPr>
          <w:p w14:paraId="174AFDF7" w14:textId="77777777" w:rsidR="007B09A6" w:rsidRDefault="00000000">
            <w:r>
              <w:rPr>
                <w:sz w:val="20"/>
              </w:rPr>
              <w:t>5 days post-collapse. Quadrupled in ~2 weeks</w:t>
            </w:r>
          </w:p>
        </w:tc>
      </w:tr>
      <w:tr w:rsidR="007B09A6" w14:paraId="2072921B" w14:textId="77777777">
        <w:trPr>
          <w:jc w:val="center"/>
        </w:trPr>
        <w:tc>
          <w:tcPr>
            <w:tcW w:w="3120" w:type="dxa"/>
          </w:tcPr>
          <w:p w14:paraId="4895D04D" w14:textId="77777777" w:rsidR="007B09A6" w:rsidRDefault="00000000">
            <w:r>
              <w:rPr>
                <w:sz w:val="20"/>
              </w:rPr>
              <w:t>April 2026</w:t>
            </w:r>
          </w:p>
        </w:tc>
        <w:tc>
          <w:tcPr>
            <w:tcW w:w="3120" w:type="dxa"/>
          </w:tcPr>
          <w:p w14:paraId="366507BE" w14:textId="77777777" w:rsidR="007B09A6" w:rsidRDefault="00000000">
            <w:r>
              <w:rPr>
                <w:sz w:val="20"/>
              </w:rPr>
              <w:t>4.0</w:t>
            </w:r>
          </w:p>
        </w:tc>
        <w:tc>
          <w:tcPr>
            <w:tcW w:w="3120" w:type="dxa"/>
          </w:tcPr>
          <w:p w14:paraId="5CE6E1D5" w14:textId="77777777" w:rsidR="007B09A6" w:rsidRDefault="00000000">
            <w:r>
              <w:rPr>
                <w:sz w:val="20"/>
              </w:rPr>
              <w:t>Current baseline</w:t>
            </w:r>
          </w:p>
        </w:tc>
      </w:tr>
    </w:tbl>
    <w:p w14:paraId="665BD499" w14:textId="77777777" w:rsidR="007B09A6" w:rsidRDefault="007B09A6"/>
    <w:p w14:paraId="6BF7D3A9" w14:textId="77777777" w:rsidR="007B09A6" w:rsidRDefault="00000000">
      <w:r>
        <w:t>The aldosterone data reveal two distinct findings. First, extreme short-term volatility: aldosterone quadrupled from 1.5 to 6.5 ng/dL within approximately two weeks in February-March 2018. This volatility occurred with renin activity at 0.564 ng/mL/hr, which is too low to account for the aldosterone fluctuation through the standard renin-angiotensin-aldosterone pathway. This suggests an alternative driver, most likely ACTH, which can stimulate aldosterone production directly, bypassing the renin-angiotensin system.</w:t>
      </w:r>
    </w:p>
    <w:p w14:paraId="1D7FF1AF" w14:textId="77777777" w:rsidR="007B09A6" w:rsidRDefault="00000000">
      <w:r>
        <w:t>Second, a long-term declining trend: the current value of 4.0 ng/dL in 2026 represents a reduction from the 6.5 peak, consistent with progressive loss of adrenal functional capacity over the intervening eight years.</w:t>
      </w:r>
    </w:p>
    <w:p w14:paraId="506780A5" w14:textId="77777777" w:rsidR="007B09A6" w:rsidRDefault="00000000">
      <w:pPr>
        <w:pStyle w:val="Heading2"/>
      </w:pPr>
      <w:r>
        <w:rPr>
          <w:rFonts w:ascii="Arial" w:hAnsi="Arial"/>
          <w:color w:val="000000"/>
        </w:rPr>
        <w:t>4.3 ACTH (April 2026)</w:t>
      </w:r>
    </w:p>
    <w:p w14:paraId="2DBF0B04" w14:textId="77777777" w:rsidR="007B09A6" w:rsidRDefault="00000000">
      <w:r>
        <w:t>ACTH: 14 pg/mL (mid-range). This is the first available ACTH measurement. In isolation, it appears unremarkable. However, in a system with declining aldosterone and stable cortisol, a mid-range ACTH suggests the pituitary is maintaining sufficient drive to preserve cortisol output from diminishing adrenal tissue while aldosterone production, which depends primarily on the renin-angiotensin system rather than ACTH, follows the attrition curve of the glands themselves.</w:t>
      </w:r>
    </w:p>
    <w:p w14:paraId="15166076" w14:textId="77777777" w:rsidR="007B09A6" w:rsidRDefault="00000000">
      <w:pPr>
        <w:pStyle w:val="Heading2"/>
      </w:pPr>
      <w:r>
        <w:rPr>
          <w:rFonts w:ascii="Arial" w:hAnsi="Arial"/>
          <w:color w:val="000000"/>
        </w:rPr>
        <w:t>4.4 Selective Adrenal Preservation Pattern</w:t>
      </w:r>
    </w:p>
    <w:p w14:paraId="167F57B3" w14:textId="77777777" w:rsidR="007B09A6" w:rsidRDefault="00000000">
      <w:r>
        <w:t>The combined endocrine data describe a pattern of selective output preservation: cortisol remains stable across 16 years while aldosterone declines. This is consistent with a system that is losing adrenal tissue but preferentially maintaining cortisol production. Cortisol serves critical functions in immune modulation, glucose mobilization, and inflammatory environment management. Aldosterone manages renal sodium and potassium handling. If adrenal capacity is limited, cortisol preservation at the expense of aldosterone would represent a physiologically rational prioritization, with sodium balance increasingly dependent on behavioral compensation (e.g., salt craving).</w:t>
      </w:r>
    </w:p>
    <w:p w14:paraId="2E5436C9" w14:textId="77777777" w:rsidR="007B09A6" w:rsidRDefault="00000000">
      <w:pPr>
        <w:pStyle w:val="Heading1"/>
      </w:pPr>
      <w:r>
        <w:rPr>
          <w:rFonts w:ascii="Arial" w:hAnsi="Arial"/>
          <w:color w:val="000000"/>
        </w:rPr>
        <w:t>5. Diagnostic Considerations</w:t>
      </w:r>
    </w:p>
    <w:p w14:paraId="6FC67ECE" w14:textId="77777777" w:rsidR="007B09A6" w:rsidRDefault="00000000">
      <w:r>
        <w:t>Standard diagnostic workup across two emergency department visits, multiple imaging studies, and endoscopy identified no structural pathology. The following conditions were effectively excluded by the documented evaluations:</w:t>
      </w:r>
    </w:p>
    <w:p w14:paraId="2CFB911C" w14:textId="77777777" w:rsidR="007B09A6" w:rsidRDefault="00000000">
      <w:r>
        <w:rPr>
          <w:b/>
        </w:rPr>
        <w:t xml:space="preserve">Acute coronary syndrome: </w:t>
      </w:r>
      <w:r>
        <w:t>Serial troponins negative, ECGs normal, BNP normal</w:t>
      </w:r>
    </w:p>
    <w:p w14:paraId="49FAA4C8" w14:textId="77777777" w:rsidR="007B09A6" w:rsidRDefault="00000000">
      <w:r>
        <w:rPr>
          <w:b/>
        </w:rPr>
        <w:t xml:space="preserve">Cerebrovascular accident: </w:t>
      </w:r>
      <w:r>
        <w:t>CT head negative, neurological function intact</w:t>
      </w:r>
    </w:p>
    <w:p w14:paraId="2F905CAE" w14:textId="77777777" w:rsidR="007B09A6" w:rsidRDefault="00000000">
      <w:r>
        <w:rPr>
          <w:b/>
        </w:rPr>
        <w:t xml:space="preserve">Acute abdomen: </w:t>
      </w:r>
      <w:r>
        <w:t>CT abdomen negative</w:t>
      </w:r>
    </w:p>
    <w:p w14:paraId="504058C0" w14:textId="77777777" w:rsidR="007B09A6" w:rsidRDefault="00000000">
      <w:r>
        <w:rPr>
          <w:b/>
        </w:rPr>
        <w:t xml:space="preserve">Cardiac structural disease: </w:t>
      </w:r>
      <w:r>
        <w:t>Nuclear stress imaging (NM MPI Lexiscan, 3/20/2018) normal</w:t>
      </w:r>
    </w:p>
    <w:p w14:paraId="4F9999E9" w14:textId="77777777" w:rsidR="007B09A6" w:rsidRDefault="00000000">
      <w:r>
        <w:rPr>
          <w:b/>
        </w:rPr>
        <w:t xml:space="preserve">Upper GI pathology: </w:t>
      </w:r>
      <w:r>
        <w:t>EGD with biopsy and CLO test (4/4/2018) negative</w:t>
      </w:r>
    </w:p>
    <w:p w14:paraId="52B26984" w14:textId="77777777" w:rsidR="007B09A6" w:rsidRDefault="00000000">
      <w:r>
        <w:rPr>
          <w:b/>
        </w:rPr>
        <w:t xml:space="preserve">Addison's disease (primary adrenal insufficiency): </w:t>
      </w:r>
      <w:r>
        <w:t>Cortisol within normal range at all time points measured</w:t>
      </w:r>
    </w:p>
    <w:p w14:paraId="4E4DDFD6" w14:textId="77777777" w:rsidR="007B09A6" w:rsidRDefault="00000000">
      <w:r>
        <w:lastRenderedPageBreak/>
        <w:t>The clinical presentation does not fit any single conventional diagnosis. The combination of volume-dependent hemodynamic instability, paradoxical saline non-responsiveness, maintained consciousness at hemodynamically significant hypotension, selective endocrine axis preservation, and aldosterone volatility independent of renin constitutes a pattern that falls outside standard diagnostic categories.</w:t>
      </w:r>
    </w:p>
    <w:p w14:paraId="1C90E66B" w14:textId="77777777" w:rsidR="007B09A6" w:rsidRDefault="00000000">
      <w:pPr>
        <w:pStyle w:val="Heading1"/>
      </w:pPr>
      <w:r>
        <w:rPr>
          <w:rFonts w:ascii="Arial" w:hAnsi="Arial"/>
          <w:color w:val="000000"/>
        </w:rPr>
        <w:t>6. Discussion</w:t>
      </w:r>
    </w:p>
    <w:p w14:paraId="7DE449E5" w14:textId="77777777" w:rsidR="007B09A6" w:rsidRDefault="00000000">
      <w:pPr>
        <w:pStyle w:val="Heading2"/>
      </w:pPr>
      <w:r>
        <w:rPr>
          <w:rFonts w:ascii="Arial" w:hAnsi="Arial"/>
          <w:color w:val="000000"/>
        </w:rPr>
        <w:t>6.1 The Provocation Sequence as Controlled Experiment</w:t>
      </w:r>
    </w:p>
    <w:p w14:paraId="39F3CAC8" w14:textId="77777777" w:rsidR="007B09A6" w:rsidRDefault="00000000">
      <w:r>
        <w:t>This case is notable for the clarity of its provocation-response structure. The input is known and timed (standard phlebotomy, February 1, 2018, 1:00 PM). The clinical response follows a reproducible five-phase arc: (1) compensatory hormonal surge (days 1-2, subjective mania); (2) vestibular perfusion failure (day 3, acute vertigo); (3) sustained autonomic instability (days 7-35, nausea and orthostatic symptoms); (4) terminal decompensation upon vasodilatory challenge (day 36, collapse); and (5) prolonged recovery with measurable hemodynamic endpoints (days 37-243+, serial BP from 90/54 to 139/90).</w:t>
      </w:r>
    </w:p>
    <w:p w14:paraId="58B72668" w14:textId="77777777" w:rsidR="007B09A6" w:rsidRDefault="00000000">
      <w:r>
        <w:t>Each phase is accompanied by contemporaneous laboratory data. The approximately 72-hour delay between provocation and the onset of compensatory failure (mania on days 1-2, vertigo on day 3) suggests approximately three days of emergency reserve capacity in this patient's hemodynamic system. The compensatory surge (subjective mania) was not merely a brief spike but sustained functional perfusion for over 48 hours before the system's reserves were exhausted. This reserve window is itself a measurable parameter.</w:t>
      </w:r>
    </w:p>
    <w:p w14:paraId="05495620" w14:textId="77777777" w:rsidR="007B09A6" w:rsidRDefault="00000000">
      <w:pPr>
        <w:pStyle w:val="Heading2"/>
      </w:pPr>
      <w:r>
        <w:rPr>
          <w:rFonts w:ascii="Arial" w:hAnsi="Arial"/>
          <w:color w:val="000000"/>
        </w:rPr>
        <w:t>6.2 Volume Dysregulation and Measurement Limitations</w:t>
      </w:r>
    </w:p>
    <w:p w14:paraId="6979C424" w14:textId="77777777" w:rsidR="007B09A6" w:rsidRDefault="00000000">
      <w:r>
        <w:t>A critical observation from this case is the inadequacy of concentration-based laboratory measurements in a volume-dysregulated system. Standard blood tests report serum concentrations (osmolarity), which assume a stable vascular volume. In a patient with significantly reduced circulating volume, a 'normal' serum concentration may represent a dramatically reduced total quantity of the measured analyte. This distinction between osmolarity (concentration per unit volume of solution) and osmolality (total solute per unit of total body water) is fundamental to interpreting this patient's laboratory data.</w:t>
      </w:r>
    </w:p>
    <w:p w14:paraId="7F6693F5" w14:textId="77777777" w:rsidR="007B09A6" w:rsidRDefault="00000000">
      <w:r>
        <w:t>The persistent hypotension following two units of IV saline is direct evidence of this architecture. In a patient with intact vascular containment, 1-2 liters of isotonic saline would produce a measurable blood pressure response. In this patient, the fluid did not remain in the vascular compartment. This observation is consistent with either third-spacing, extravascular redistribution, or altered vascular permeability, and it undermines the validity of any serum-concentration-based measurement as a reflection of total body status.</w:t>
      </w:r>
    </w:p>
    <w:p w14:paraId="1D471A03" w14:textId="77777777" w:rsidR="007B09A6" w:rsidRDefault="00000000">
      <w:pPr>
        <w:pStyle w:val="Heading2"/>
      </w:pPr>
      <w:r>
        <w:rPr>
          <w:rFonts w:ascii="Arial" w:hAnsi="Arial"/>
          <w:color w:val="000000"/>
        </w:rPr>
        <w:t>6.3 Consciousness Preservation During Hemodynamic Crisis</w:t>
      </w:r>
    </w:p>
    <w:p w14:paraId="4BBDB03E" w14:textId="77777777" w:rsidR="007B09A6" w:rsidRDefault="00000000">
      <w:r>
        <w:t xml:space="preserve">Perhaps the most clinically striking feature of this case is the patient's maintenance of full consciousness during the collapse event and throughout the period of documented hypotension. A blood pressure of 90/54 mmHg, particularly in an already volume-depleted patient, would </w:t>
      </w:r>
      <w:r>
        <w:lastRenderedPageBreak/>
        <w:t>typically be expected to produce altered mental status or syncope. The patient reports complete preservation of awareness, orientation, and cognition throughout.</w:t>
      </w:r>
    </w:p>
    <w:p w14:paraId="471F1B7B" w14:textId="77777777" w:rsidR="007B09A6" w:rsidRDefault="00000000">
      <w:r>
        <w:t>The peripheral vasospasm reported during the collapse (hands and feet 'vibrating') is consistent with emergency redistribution of blood flow away from extremities to maintain central and cerebral perfusion. The absence of compensatory tachycardia (heart rate 66-88 bpm during documented hypotension) suggests this is not a standard sympathetic response to hypovolemia, but a different compensatory architecture.</w:t>
      </w:r>
    </w:p>
    <w:p w14:paraId="0F6E192D" w14:textId="77777777" w:rsidR="007B09A6" w:rsidRDefault="00000000">
      <w:pPr>
        <w:pStyle w:val="Heading2"/>
      </w:pPr>
      <w:r>
        <w:rPr>
          <w:rFonts w:ascii="Arial" w:hAnsi="Arial"/>
          <w:color w:val="000000"/>
        </w:rPr>
        <w:t>6.4 Interpretive Framework</w:t>
      </w:r>
    </w:p>
    <w:p w14:paraId="0DC87E82" w14:textId="77777777" w:rsidR="007B09A6" w:rsidRDefault="00000000">
      <w:r>
        <w:t>The findings in this case are interpreted within the framework described in Craddock (2026), "Candida albicans as a Biochemical Computer" (DOI: 10.5281/zenodo.19369716), and Craddock (2026), "The Saline Oscillation Hypothesis" (DOI: 10.5281/zenodo.19337526). Under this framework, the patient's hemodynamic architecture reflects long-term co-adaptation between host physiology and a systemic Candida albicans colonization that has progressively integrated into endocrine and vascular regulation.</w:t>
      </w:r>
    </w:p>
    <w:p w14:paraId="5FAA0CAE" w14:textId="77777777" w:rsidR="007B09A6" w:rsidRDefault="00000000">
      <w:r>
        <w:t>Key framework-consistent observations include: (a) the selective preservation of cortisol over aldosterone, consistent with an organism that benefits from cortisol's immunosuppressive and glucose-mobilizing effects; (b) aldosterone volatility driven by ACTH rather than renin, consistent with pituitary-level management of adrenal output; (c) consciousness preservation during hemodynamic crisis, consistent with an enhanced perfusion management system; and (d) the patient's subjective craving shift from sugar to salt over the longitudinal course, consistent with behavioral compensation for declining aldosterone-mediated sodium retention.</w:t>
      </w:r>
    </w:p>
    <w:p w14:paraId="19B545AE" w14:textId="77777777" w:rsidR="007B09A6" w:rsidRDefault="00000000">
      <w:r>
        <w:t>This case does not constitute proof of the framework. It constitutes a documented sequence of clinical events and laboratory findings that the framework predicts and conventional diagnostic categories do not explain. The provocation-response structure, with its known input, timed outputs, and contemporaneous measurements, provides the closest approximation to experimental methodology available in a single-subject longitudinal study.</w:t>
      </w:r>
    </w:p>
    <w:p w14:paraId="5A3EEF36" w14:textId="77777777" w:rsidR="007B09A6" w:rsidRDefault="00000000">
      <w:pPr>
        <w:pStyle w:val="Heading1"/>
      </w:pPr>
      <w:r>
        <w:rPr>
          <w:rFonts w:ascii="Arial" w:hAnsi="Arial"/>
          <w:color w:val="000000"/>
        </w:rPr>
        <w:t>7. Summary of Findings</w:t>
      </w:r>
    </w:p>
    <w:p w14:paraId="3B6BE400" w14:textId="77777777" w:rsidR="007B09A6" w:rsidRDefault="00000000">
      <w:r>
        <w:rPr>
          <w:b/>
        </w:rPr>
        <w:t xml:space="preserve">1. </w:t>
      </w:r>
      <w:r>
        <w:t>Routine phlebotomy in a volume-dysregulated patient produced a five-phase, 36-day decompensation arc with measurable clinical and laboratory endpoints at each stage.</w:t>
      </w:r>
    </w:p>
    <w:p w14:paraId="3516B7BB" w14:textId="77777777" w:rsidR="007B09A6" w:rsidRDefault="00000000">
      <w:r>
        <w:rPr>
          <w:b/>
        </w:rPr>
        <w:t xml:space="preserve">2. </w:t>
      </w:r>
      <w:r>
        <w:t>The organism's emergency compensatory reserves last approximately 72 hours, after which perfusion failure symptoms emerge.</w:t>
      </w:r>
    </w:p>
    <w:p w14:paraId="439351B5" w14:textId="77777777" w:rsidR="007B09A6" w:rsidRDefault="00000000">
      <w:r>
        <w:rPr>
          <w:b/>
        </w:rPr>
        <w:t xml:space="preserve">3. </w:t>
      </w:r>
      <w:r>
        <w:t>Standard diagnostic evaluation (cardiac, structural, neurological, gastrointestinal) returned entirely negative across two ER visits and multiple follow-up studies.</w:t>
      </w:r>
    </w:p>
    <w:p w14:paraId="05B25F41" w14:textId="77777777" w:rsidR="007B09A6" w:rsidRDefault="00000000">
      <w:r>
        <w:rPr>
          <w:b/>
        </w:rPr>
        <w:t xml:space="preserve">4. </w:t>
      </w:r>
      <w:r>
        <w:t>Subtle laboratory abnormalities (BUN elevation, borderline hypokalemia, concentrated urine, venous alkalosis, immune cell suppression) collectively describe a volume-depleted, perfusion-compromised system that no individual finding would identify.</w:t>
      </w:r>
    </w:p>
    <w:p w14:paraId="26FCF391" w14:textId="77777777" w:rsidR="007B09A6" w:rsidRDefault="00000000">
      <w:r>
        <w:rPr>
          <w:b/>
        </w:rPr>
        <w:t xml:space="preserve">5. </w:t>
      </w:r>
      <w:r>
        <w:t>Cortisol output is maintained at a stable setpoint across 16 years while aldosterone declines, indicating selective adrenal preservation.</w:t>
      </w:r>
    </w:p>
    <w:p w14:paraId="5118C8EF" w14:textId="77777777" w:rsidR="007B09A6" w:rsidRDefault="00000000">
      <w:r>
        <w:rPr>
          <w:b/>
        </w:rPr>
        <w:lastRenderedPageBreak/>
        <w:t xml:space="preserve">6. </w:t>
      </w:r>
      <w:r>
        <w:t>Aldosterone is driven by ACTH-pulsed output rather than the renin-angiotensin system, producing extreme short-term volatility that renders any single measurement unreliable.</w:t>
      </w:r>
    </w:p>
    <w:p w14:paraId="3EE148B3" w14:textId="77777777" w:rsidR="007B09A6" w:rsidRDefault="00000000">
      <w:r>
        <w:rPr>
          <w:b/>
        </w:rPr>
        <w:t xml:space="preserve">7. </w:t>
      </w:r>
      <w:r>
        <w:t>Urine sodium of 203 mmol/L on day 26, with aldosterone at 1.5 ng/dL, directly measures the sodium retention failure. The kidneys are actively excreting sodium in a volume-depleted system with no hormonal signal to retain it, confirming a fundamental compromise of the sodium conservation mechanism.</w:t>
      </w:r>
    </w:p>
    <w:p w14:paraId="63AEC6A1" w14:textId="77777777" w:rsidR="007B09A6" w:rsidRDefault="00000000">
      <w:r>
        <w:rPr>
          <w:b/>
        </w:rPr>
        <w:t xml:space="preserve">8. </w:t>
      </w:r>
      <w:r>
        <w:t>The patient maintained full consciousness at hemodynamically significant hypotension (90/54 post-saline), with peripheral vasospasm indicating active redistribution rather than cardiovascular collapse.</w:t>
      </w:r>
    </w:p>
    <w:p w14:paraId="4306F2E4" w14:textId="77777777" w:rsidR="007B09A6" w:rsidRDefault="00000000">
      <w:r>
        <w:rPr>
          <w:b/>
        </w:rPr>
        <w:t xml:space="preserve">9. </w:t>
      </w:r>
      <w:r>
        <w:t>Hemodynamic recovery required approximately three months, followed by an overshoot phase consistent with volume restaging.</w:t>
      </w:r>
    </w:p>
    <w:p w14:paraId="7CA0FDF3" w14:textId="77777777" w:rsidR="007B09A6" w:rsidRDefault="00000000">
      <w:pPr>
        <w:pStyle w:val="Heading1"/>
      </w:pPr>
      <w:r>
        <w:rPr>
          <w:rFonts w:ascii="Arial" w:hAnsi="Arial"/>
          <w:color w:val="000000"/>
        </w:rPr>
        <w:t>References</w:t>
      </w:r>
    </w:p>
    <w:p w14:paraId="473B4D69" w14:textId="77777777" w:rsidR="007B09A6" w:rsidRDefault="00000000">
      <w:pPr>
        <w:spacing w:after="80"/>
      </w:pPr>
      <w:r>
        <w:rPr>
          <w:sz w:val="20"/>
        </w:rPr>
        <w:t>1. Craddock, J. (2026). "Candida albicans as a Biochemical Computer: An Engineering Analysis of Eukaryotic Signaling Architecture." Zenodo. DOI: 10.5281/zenodo.19369716</w:t>
      </w:r>
    </w:p>
    <w:p w14:paraId="491591FB" w14:textId="77777777" w:rsidR="007B09A6" w:rsidRDefault="00000000">
      <w:pPr>
        <w:spacing w:after="80"/>
        <w:rPr>
          <w:sz w:val="20"/>
        </w:rPr>
      </w:pPr>
      <w:r>
        <w:rPr>
          <w:sz w:val="20"/>
        </w:rPr>
        <w:t>2. Craddock, J. (2026). "The Saline Oscillation Hypothesis." Zenodo. DOI: 10.5281/zenodo.19337526</w:t>
      </w:r>
    </w:p>
    <w:p w14:paraId="5CD40237" w14:textId="5AE7E786" w:rsidR="000279D9" w:rsidRDefault="000279D9">
      <w:pPr>
        <w:spacing w:after="80"/>
      </w:pPr>
      <w:r>
        <w:rPr>
          <w:sz w:val="20"/>
        </w:rPr>
        <w:t>3. Craddock, J. (2026) “Redacted Science” Book, www.redactedscience.org</w:t>
      </w:r>
    </w:p>
    <w:sectPr w:rsidR="000279D9" w:rsidSect="000346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10DC2" w14:textId="77777777" w:rsidR="00310DB5" w:rsidRDefault="00310DB5" w:rsidP="007E38A5">
      <w:pPr>
        <w:spacing w:after="0" w:line="240" w:lineRule="auto"/>
      </w:pPr>
      <w:r>
        <w:separator/>
      </w:r>
    </w:p>
  </w:endnote>
  <w:endnote w:type="continuationSeparator" w:id="0">
    <w:p w14:paraId="53013E27" w14:textId="77777777" w:rsidR="00310DB5" w:rsidRDefault="00310DB5" w:rsidP="007E3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0140" w14:textId="0482EB9A" w:rsidR="007E38A5" w:rsidRDefault="007E38A5">
    <w:pPr>
      <w:pStyle w:val="Footer"/>
    </w:pPr>
    <w:r>
      <w:t>Jim Craddock</w:t>
    </w:r>
    <w:r>
      <w:ptab w:relativeTo="margin" w:alignment="center" w:leader="none"/>
    </w:r>
    <w:r>
      <w:t>www.redactedscience.org</w:t>
    </w:r>
    <w:r>
      <w:ptab w:relativeTo="margin" w:alignment="right" w:leader="none"/>
    </w:r>
    <w:sdt>
      <w:sdtPr>
        <w:id w:val="1731587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0CF37" w14:textId="77777777" w:rsidR="00310DB5" w:rsidRDefault="00310DB5" w:rsidP="007E38A5">
      <w:pPr>
        <w:spacing w:after="0" w:line="240" w:lineRule="auto"/>
      </w:pPr>
      <w:r>
        <w:separator/>
      </w:r>
    </w:p>
  </w:footnote>
  <w:footnote w:type="continuationSeparator" w:id="0">
    <w:p w14:paraId="4E0F2180" w14:textId="77777777" w:rsidR="00310DB5" w:rsidRDefault="00310DB5" w:rsidP="007E3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88698287">
    <w:abstractNumId w:val="8"/>
  </w:num>
  <w:num w:numId="2" w16cid:durableId="822359506">
    <w:abstractNumId w:val="6"/>
  </w:num>
  <w:num w:numId="3" w16cid:durableId="1888637376">
    <w:abstractNumId w:val="5"/>
  </w:num>
  <w:num w:numId="4" w16cid:durableId="469052155">
    <w:abstractNumId w:val="4"/>
  </w:num>
  <w:num w:numId="5" w16cid:durableId="766389980">
    <w:abstractNumId w:val="7"/>
  </w:num>
  <w:num w:numId="6" w16cid:durableId="370150245">
    <w:abstractNumId w:val="3"/>
  </w:num>
  <w:num w:numId="7" w16cid:durableId="1860116157">
    <w:abstractNumId w:val="2"/>
  </w:num>
  <w:num w:numId="8" w16cid:durableId="871725981">
    <w:abstractNumId w:val="1"/>
  </w:num>
  <w:num w:numId="9" w16cid:durableId="183287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79D9"/>
    <w:rsid w:val="00034616"/>
    <w:rsid w:val="0006063C"/>
    <w:rsid w:val="0007202E"/>
    <w:rsid w:val="00111977"/>
    <w:rsid w:val="0015074B"/>
    <w:rsid w:val="0029639D"/>
    <w:rsid w:val="00310DB5"/>
    <w:rsid w:val="00326F90"/>
    <w:rsid w:val="00564A71"/>
    <w:rsid w:val="007B09A6"/>
    <w:rsid w:val="007E38A5"/>
    <w:rsid w:val="00AA1D8D"/>
    <w:rsid w:val="00B47730"/>
    <w:rsid w:val="00CB0664"/>
    <w:rsid w:val="00F25F2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171530"/>
  <w14:defaultImageDpi w14:val="300"/>
  <w15:docId w15:val="{6C32592F-BF2E-4AAE-A66D-1B079AD0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3660</Words>
  <Characters>19326</Characters>
  <Application>Microsoft Office Word</Application>
  <DocSecurity>0</DocSecurity>
  <Lines>773</Lines>
  <Paragraphs>522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Craddock, Jim (HSC)</cp:lastModifiedBy>
  <cp:revision>5</cp:revision>
  <dcterms:created xsi:type="dcterms:W3CDTF">2013-12-23T23:15:00Z</dcterms:created>
  <dcterms:modified xsi:type="dcterms:W3CDTF">2026-04-07T21:42:00Z</dcterms:modified>
  <cp:category/>
</cp:coreProperties>
</file>