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99139" w14:textId="77777777" w:rsidR="00FC3FBE" w:rsidRDefault="00000000">
      <w:pPr>
        <w:spacing w:after="360"/>
        <w:jc w:val="center"/>
      </w:pPr>
      <w:r>
        <w:rPr>
          <w:b/>
          <w:bCs/>
          <w:sz w:val="36"/>
          <w:szCs w:val="36"/>
        </w:rPr>
        <w:t>Note to the Examining Pathologist</w:t>
      </w:r>
    </w:p>
    <w:p w14:paraId="2BB507A8" w14:textId="77777777" w:rsidR="00FC3FBE" w:rsidRDefault="00000000">
      <w:pPr>
        <w:spacing w:after="200"/>
      </w:pPr>
      <w:r>
        <w:t>To the examining pathologist:</w:t>
      </w:r>
    </w:p>
    <w:p w14:paraId="5AF38A9A" w14:textId="77777777" w:rsidR="00FC3FBE" w:rsidRDefault="00000000">
      <w:pPr>
        <w:spacing w:after="200"/>
      </w:pPr>
      <w:r>
        <w:t>This patient exhibited a long-term, system-wide collapse driven by a fungal-adaptive process that overrode endocrine, circulatory, immune, and neurological regulation. The condition is not sepsis. It is not APECED.</w:t>
      </w:r>
    </w:p>
    <w:p w14:paraId="4C19163A" w14:textId="77777777" w:rsidR="00FC3FBE" w:rsidRDefault="00000000">
      <w:pPr>
        <w:spacing w:after="200"/>
      </w:pPr>
      <w:r>
        <w:t>It unfolded gradually over 30 years, with distinct iatrogenic origin, metabolic phases, and irreversible physiological programming.</w:t>
      </w:r>
    </w:p>
    <w:p w14:paraId="79769891" w14:textId="77777777" w:rsidR="00FC3FBE" w:rsidRDefault="00000000">
      <w:pPr>
        <w:spacing w:after="200"/>
      </w:pPr>
      <w:r>
        <w:rPr>
          <w:b/>
          <w:bCs/>
        </w:rPr>
        <w:t>Please conduct deep tissue analysis, not just gross inspection.</w:t>
      </w:r>
      <w:r>
        <w:t xml:space="preserve"> Many organs may appear normal while functionally destroyed or repurposed.</w:t>
      </w:r>
    </w:p>
    <w:p w14:paraId="55C7E949" w14:textId="77777777" w:rsidR="00FC3FBE" w:rsidRDefault="00000000">
      <w:pPr>
        <w:pStyle w:val="Heading2"/>
        <w:spacing w:before="300" w:after="200"/>
      </w:pPr>
      <w:r>
        <w:t>Prioritized Sites for Biological and Structural Analysis</w:t>
      </w:r>
    </w:p>
    <w:p w14:paraId="714D8409" w14:textId="77777777" w:rsidR="00FC3FBE" w:rsidRDefault="00000000">
      <w:pPr>
        <w:spacing w:after="120"/>
      </w:pPr>
      <w:r>
        <w:rPr>
          <w:b/>
          <w:bCs/>
        </w:rPr>
        <w:t xml:space="preserve">Abdominal Skin — </w:t>
      </w:r>
      <w:r>
        <w:t xml:space="preserve">Unusually thick, likely laminated with apoptotic epidermal layers. </w:t>
      </w:r>
      <w:proofErr w:type="gramStart"/>
      <w:r>
        <w:t>Examine for</w:t>
      </w:r>
      <w:proofErr w:type="gramEnd"/>
      <w:r>
        <w:t xml:space="preserve"> compaction, fungal infiltration, and perfusion separation. Use a real scalpel here — feeling that physical resistance is key.</w:t>
      </w:r>
    </w:p>
    <w:p w14:paraId="45CF4A66" w14:textId="77777777" w:rsidR="00FC3FBE" w:rsidRDefault="00000000">
      <w:pPr>
        <w:spacing w:after="120"/>
      </w:pPr>
      <w:r>
        <w:rPr>
          <w:b/>
          <w:bCs/>
        </w:rPr>
        <w:t xml:space="preserve">Basal Epidermis (all </w:t>
      </w:r>
      <w:proofErr w:type="gramStart"/>
      <w:r>
        <w:rPr>
          <w:b/>
          <w:bCs/>
        </w:rPr>
        <w:t>sites) —</w:t>
      </w:r>
      <w:proofErr w:type="gramEnd"/>
      <w:r>
        <w:rPr>
          <w:b/>
          <w:bCs/>
        </w:rPr>
        <w:t xml:space="preserve"> </w:t>
      </w:r>
      <w:r>
        <w:t>Look for keratinocyte shrinkage, chromatin condensation, and signs of silent apoptosis. Check fingers and toes. Toenails are very thin and not significantly attached to the nailbed. Fingernails are strong but thin from excess minerals.</w:t>
      </w:r>
    </w:p>
    <w:p w14:paraId="3C661215" w14:textId="77777777" w:rsidR="00FC3FBE" w:rsidRDefault="00000000">
      <w:pPr>
        <w:spacing w:after="120"/>
      </w:pPr>
      <w:r>
        <w:rPr>
          <w:b/>
          <w:bCs/>
        </w:rPr>
        <w:t xml:space="preserve">Bladder and Ureters — </w:t>
      </w:r>
      <w:r>
        <w:t xml:space="preserve">Evaluate for structural detachment and loss of signal interface. Osmotic </w:t>
      </w:r>
      <w:proofErr w:type="gramStart"/>
      <w:r>
        <w:t>function</w:t>
      </w:r>
      <w:proofErr w:type="gramEnd"/>
      <w:r>
        <w:t xml:space="preserve"> may be reversed.</w:t>
      </w:r>
    </w:p>
    <w:p w14:paraId="32D0801A" w14:textId="77777777" w:rsidR="00FC3FBE" w:rsidRDefault="00000000">
      <w:pPr>
        <w:spacing w:after="120"/>
      </w:pPr>
      <w:r>
        <w:rPr>
          <w:b/>
          <w:bCs/>
        </w:rPr>
        <w:t xml:space="preserve">Bones — </w:t>
      </w:r>
      <w:r>
        <w:t>Check for loss of calcium and replacement with other minerals.</w:t>
      </w:r>
    </w:p>
    <w:p w14:paraId="03CF426F" w14:textId="77777777" w:rsidR="00FC3FBE" w:rsidRDefault="00000000">
      <w:pPr>
        <w:spacing w:after="120"/>
      </w:pPr>
      <w:r>
        <w:rPr>
          <w:b/>
          <w:bCs/>
        </w:rPr>
        <w:t xml:space="preserve">Marrow and Spleen — </w:t>
      </w:r>
      <w:r>
        <w:t>Check for signs of immune exhaustion and compensatory red cell production from spleen due to chronic marrow strain.</w:t>
      </w:r>
    </w:p>
    <w:p w14:paraId="41345FC3" w14:textId="77777777" w:rsidR="00FC3FBE" w:rsidRDefault="00000000">
      <w:pPr>
        <w:spacing w:after="120"/>
      </w:pPr>
      <w:r>
        <w:rPr>
          <w:b/>
          <w:bCs/>
        </w:rPr>
        <w:t xml:space="preserve">Pancreas — </w:t>
      </w:r>
      <w:r>
        <w:t xml:space="preserve">Suspected apoptotic collapse near final days. May be visually intact or </w:t>
      </w:r>
      <w:proofErr w:type="gramStart"/>
      <w:r>
        <w:t>shrunken, or</w:t>
      </w:r>
      <w:proofErr w:type="gramEnd"/>
      <w:r>
        <w:t xml:space="preserve"> show total involvement.</w:t>
      </w:r>
    </w:p>
    <w:p w14:paraId="114A819A" w14:textId="77777777" w:rsidR="00FC3FBE" w:rsidRDefault="00000000">
      <w:pPr>
        <w:spacing w:after="120"/>
      </w:pPr>
      <w:r>
        <w:rPr>
          <w:b/>
          <w:bCs/>
        </w:rPr>
        <w:t xml:space="preserve">Gall Bladder — </w:t>
      </w:r>
      <w:r>
        <w:t>Likely consumed in earlier phase. Verify presence and integrity.</w:t>
      </w:r>
    </w:p>
    <w:p w14:paraId="725AA88A" w14:textId="77777777" w:rsidR="00FC3FBE" w:rsidRDefault="00000000">
      <w:pPr>
        <w:spacing w:after="120"/>
      </w:pPr>
      <w:r>
        <w:rPr>
          <w:b/>
          <w:bCs/>
        </w:rPr>
        <w:t xml:space="preserve">Adrenal Glands — </w:t>
      </w:r>
      <w:r>
        <w:t>Must be dissected. Do not rely on gross appearance. Look for cortical thinning, atrophy, fungal infiltration, or total collapse.</w:t>
      </w:r>
    </w:p>
    <w:p w14:paraId="1B00ADCC" w14:textId="77777777" w:rsidR="00FC3FBE" w:rsidRDefault="00000000">
      <w:pPr>
        <w:spacing w:after="200"/>
      </w:pPr>
      <w:r>
        <w:rPr>
          <w:b/>
          <w:bCs/>
        </w:rPr>
        <w:t xml:space="preserve">Total Blood Volume — </w:t>
      </w:r>
      <w:r>
        <w:t>Please estimate. Systemic hypovolemia may be masked by superficial compartment filling.</w:t>
      </w:r>
    </w:p>
    <w:p w14:paraId="041821BC" w14:textId="77777777" w:rsidR="00FC3FBE" w:rsidRDefault="00000000">
      <w:pPr>
        <w:spacing w:before="300" w:after="200"/>
      </w:pPr>
      <w:r>
        <w:t>This is a host-pathogen adaptation system, not an acute infection.</w:t>
      </w:r>
    </w:p>
    <w:p w14:paraId="2CD2ECBC" w14:textId="77777777" w:rsidR="00FC3FBE" w:rsidRDefault="00000000">
      <w:pPr>
        <w:spacing w:after="200"/>
      </w:pPr>
      <w:r>
        <w:t xml:space="preserve">The fungus behaves as a biochemical computer, modifying host </w:t>
      </w:r>
      <w:proofErr w:type="gramStart"/>
      <w:r>
        <w:t>physiology</w:t>
      </w:r>
      <w:proofErr w:type="gramEnd"/>
      <w:r>
        <w:t xml:space="preserve"> phase by phase.</w:t>
      </w:r>
    </w:p>
    <w:p w14:paraId="32D0AE0E" w14:textId="77777777" w:rsidR="00FC3FBE" w:rsidRDefault="00000000">
      <w:pPr>
        <w:spacing w:after="200"/>
      </w:pPr>
      <w:r>
        <w:t>I ask you to treat this case not as a mystery but as an opportunity to see what others missed.</w:t>
      </w:r>
    </w:p>
    <w:p w14:paraId="0AB22D0D" w14:textId="77777777" w:rsidR="00FC3FBE" w:rsidRDefault="00000000">
      <w:pPr>
        <w:spacing w:after="200"/>
      </w:pPr>
      <w:r>
        <w:t xml:space="preserve">Full documentation and framework at </w:t>
      </w:r>
      <w:r>
        <w:rPr>
          <w:b/>
          <w:bCs/>
        </w:rPr>
        <w:t>www.jimcraddock.com</w:t>
      </w:r>
    </w:p>
    <w:p w14:paraId="7076F6A7" w14:textId="77777777" w:rsidR="00FC3FBE" w:rsidRDefault="00000000">
      <w:pPr>
        <w:spacing w:after="200"/>
      </w:pPr>
      <w:r>
        <w:rPr>
          <w:b/>
          <w:bCs/>
        </w:rPr>
        <w:t>Please share results with my family in complete form so that they may preserve the evidentiary record.</w:t>
      </w:r>
    </w:p>
    <w:p w14:paraId="1EE167F2" w14:textId="77777777" w:rsidR="00FC3FBE" w:rsidRDefault="00FC3FBE">
      <w:pPr>
        <w:sectPr w:rsidR="00FC3FBE">
          <w:pgSz w:w="12240" w:h="15840"/>
          <w:pgMar w:top="1440" w:right="1440" w:bottom="1440" w:left="1440" w:header="708" w:footer="708" w:gutter="0"/>
          <w:cols w:space="720"/>
          <w:docGrid w:linePitch="360"/>
        </w:sectPr>
      </w:pPr>
    </w:p>
    <w:p w14:paraId="485D6B62" w14:textId="77777777" w:rsidR="00FC3FBE" w:rsidRDefault="00000000">
      <w:pPr>
        <w:pStyle w:val="Heading2"/>
        <w:spacing w:after="200"/>
      </w:pPr>
      <w:r>
        <w:lastRenderedPageBreak/>
        <w:t>Detailed Autopsy Reference Table</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3400"/>
        <w:gridCol w:w="4000"/>
        <w:gridCol w:w="2200"/>
        <w:gridCol w:w="3200"/>
      </w:tblGrid>
      <w:tr w:rsidR="00FC3FBE" w14:paraId="1C90F68C" w14:textId="77777777">
        <w:tblPrEx>
          <w:tblCellMar>
            <w:top w:w="0" w:type="dxa"/>
            <w:bottom w:w="0" w:type="dxa"/>
          </w:tblCellMar>
        </w:tblPrEx>
        <w:trPr>
          <w:tblHeader/>
        </w:trPr>
        <w:tc>
          <w:tcPr>
            <w:tcW w:w="1600" w:type="dxa"/>
            <w:tcBorders>
              <w:top w:val="single" w:sz="1" w:space="0" w:color="999999"/>
              <w:left w:val="single" w:sz="1" w:space="0" w:color="999999"/>
              <w:bottom w:val="single" w:sz="1" w:space="0" w:color="999999"/>
              <w:right w:val="single" w:sz="1" w:space="0" w:color="999999"/>
            </w:tcBorders>
            <w:shd w:val="clear" w:color="auto" w:fill="2B2B2B"/>
            <w:tcMar>
              <w:top w:w="60" w:type="dxa"/>
              <w:left w:w="80" w:type="dxa"/>
              <w:bottom w:w="60" w:type="dxa"/>
              <w:right w:w="80" w:type="dxa"/>
            </w:tcMar>
          </w:tcPr>
          <w:p w14:paraId="42ED587B" w14:textId="77777777" w:rsidR="00FC3FBE" w:rsidRDefault="00000000">
            <w:r>
              <w:rPr>
                <w:b/>
                <w:bCs/>
                <w:color w:val="FFFFFF"/>
                <w:sz w:val="17"/>
                <w:szCs w:val="17"/>
              </w:rPr>
              <w:t>Site / Aspect</w:t>
            </w:r>
          </w:p>
        </w:tc>
        <w:tc>
          <w:tcPr>
            <w:tcW w:w="3400" w:type="dxa"/>
            <w:tcBorders>
              <w:top w:val="single" w:sz="1" w:space="0" w:color="999999"/>
              <w:left w:val="single" w:sz="1" w:space="0" w:color="999999"/>
              <w:bottom w:val="single" w:sz="1" w:space="0" w:color="999999"/>
              <w:right w:val="single" w:sz="1" w:space="0" w:color="999999"/>
            </w:tcBorders>
            <w:shd w:val="clear" w:color="auto" w:fill="2B2B2B"/>
            <w:tcMar>
              <w:top w:w="60" w:type="dxa"/>
              <w:left w:w="80" w:type="dxa"/>
              <w:bottom w:w="60" w:type="dxa"/>
              <w:right w:w="80" w:type="dxa"/>
            </w:tcMar>
          </w:tcPr>
          <w:p w14:paraId="26684445" w14:textId="77777777" w:rsidR="00FC3FBE" w:rsidRDefault="00000000">
            <w:r>
              <w:rPr>
                <w:b/>
                <w:bCs/>
                <w:color w:val="FFFFFF"/>
                <w:sz w:val="17"/>
                <w:szCs w:val="17"/>
              </w:rPr>
              <w:t>Note Details</w:t>
            </w:r>
          </w:p>
        </w:tc>
        <w:tc>
          <w:tcPr>
            <w:tcW w:w="4000" w:type="dxa"/>
            <w:tcBorders>
              <w:top w:val="single" w:sz="1" w:space="0" w:color="999999"/>
              <w:left w:val="single" w:sz="1" w:space="0" w:color="999999"/>
              <w:bottom w:val="single" w:sz="1" w:space="0" w:color="999999"/>
              <w:right w:val="single" w:sz="1" w:space="0" w:color="999999"/>
            </w:tcBorders>
            <w:shd w:val="clear" w:color="auto" w:fill="2B2B2B"/>
            <w:tcMar>
              <w:top w:w="60" w:type="dxa"/>
              <w:left w:w="80" w:type="dxa"/>
              <w:bottom w:w="60" w:type="dxa"/>
              <w:right w:w="80" w:type="dxa"/>
            </w:tcMar>
          </w:tcPr>
          <w:p w14:paraId="090FDFE4" w14:textId="77777777" w:rsidR="00FC3FBE" w:rsidRDefault="00000000">
            <w:r>
              <w:rPr>
                <w:b/>
                <w:bCs/>
                <w:color w:val="FFFFFF"/>
                <w:sz w:val="17"/>
                <w:szCs w:val="17"/>
              </w:rPr>
              <w:t>Autopsy Literature Alignment</w:t>
            </w:r>
          </w:p>
        </w:tc>
        <w:tc>
          <w:tcPr>
            <w:tcW w:w="2200" w:type="dxa"/>
            <w:tcBorders>
              <w:top w:val="single" w:sz="1" w:space="0" w:color="999999"/>
              <w:left w:val="single" w:sz="1" w:space="0" w:color="999999"/>
              <w:bottom w:val="single" w:sz="1" w:space="0" w:color="999999"/>
              <w:right w:val="single" w:sz="1" w:space="0" w:color="999999"/>
            </w:tcBorders>
            <w:shd w:val="clear" w:color="auto" w:fill="2B2B2B"/>
            <w:tcMar>
              <w:top w:w="60" w:type="dxa"/>
              <w:left w:w="80" w:type="dxa"/>
              <w:bottom w:w="60" w:type="dxa"/>
              <w:right w:w="80" w:type="dxa"/>
            </w:tcMar>
          </w:tcPr>
          <w:p w14:paraId="410CD29E" w14:textId="77777777" w:rsidR="00FC3FBE" w:rsidRDefault="00000000">
            <w:r>
              <w:rPr>
                <w:b/>
                <w:bCs/>
                <w:color w:val="FFFFFF"/>
                <w:sz w:val="17"/>
                <w:szCs w:val="17"/>
              </w:rPr>
              <w:t>Evidence Potential</w:t>
            </w:r>
          </w:p>
        </w:tc>
        <w:tc>
          <w:tcPr>
            <w:tcW w:w="3200" w:type="dxa"/>
            <w:tcBorders>
              <w:top w:val="single" w:sz="1" w:space="0" w:color="999999"/>
              <w:left w:val="single" w:sz="1" w:space="0" w:color="999999"/>
              <w:bottom w:val="single" w:sz="1" w:space="0" w:color="999999"/>
              <w:right w:val="single" w:sz="1" w:space="0" w:color="999999"/>
            </w:tcBorders>
            <w:shd w:val="clear" w:color="auto" w:fill="2B2B2B"/>
            <w:tcMar>
              <w:top w:w="60" w:type="dxa"/>
              <w:left w:w="80" w:type="dxa"/>
              <w:bottom w:w="60" w:type="dxa"/>
              <w:right w:w="80" w:type="dxa"/>
            </w:tcMar>
          </w:tcPr>
          <w:p w14:paraId="23F8D85C" w14:textId="77777777" w:rsidR="00FC3FBE" w:rsidRDefault="00000000">
            <w:r>
              <w:rPr>
                <w:b/>
                <w:bCs/>
                <w:color w:val="FFFFFF"/>
                <w:sz w:val="17"/>
                <w:szCs w:val="17"/>
              </w:rPr>
              <w:t>Suggested Analysis</w:t>
            </w:r>
          </w:p>
        </w:tc>
      </w:tr>
      <w:tr w:rsidR="00FC3FBE" w14:paraId="090BC11E" w14:textId="77777777">
        <w:tblPrEx>
          <w:tblCellMar>
            <w:top w:w="0" w:type="dxa"/>
            <w:bottom w:w="0" w:type="dxa"/>
          </w:tblCellMar>
        </w:tblPrEx>
        <w:tc>
          <w:tcPr>
            <w:tcW w:w="16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04F2A63" w14:textId="77777777" w:rsidR="00FC3FBE" w:rsidRDefault="00000000">
            <w:r>
              <w:rPr>
                <w:sz w:val="16"/>
                <w:szCs w:val="16"/>
              </w:rPr>
              <w:t>Abdominal Skin</w:t>
            </w:r>
          </w:p>
        </w:tc>
        <w:tc>
          <w:tcPr>
            <w:tcW w:w="34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819BD0D" w14:textId="77777777" w:rsidR="00FC3FBE" w:rsidRDefault="00000000">
            <w:r>
              <w:rPr>
                <w:sz w:val="16"/>
                <w:szCs w:val="16"/>
              </w:rPr>
              <w:t xml:space="preserve">Unusually thick, laminated with apoptotic epidermal layers. </w:t>
            </w:r>
            <w:proofErr w:type="gramStart"/>
            <w:r>
              <w:rPr>
                <w:sz w:val="16"/>
                <w:szCs w:val="16"/>
              </w:rPr>
              <w:t>Examine for</w:t>
            </w:r>
            <w:proofErr w:type="gramEnd"/>
            <w:r>
              <w:rPr>
                <w:sz w:val="16"/>
                <w:szCs w:val="16"/>
              </w:rPr>
              <w:t xml:space="preserve"> compaction, fungal infiltration, and perfusion separation. Use a real scalpel here — feeling that physical resistance is key.</w:t>
            </w:r>
          </w:p>
        </w:tc>
        <w:tc>
          <w:tcPr>
            <w:tcW w:w="40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E76988F" w14:textId="77777777" w:rsidR="00FC3FBE" w:rsidRDefault="00000000">
            <w:r>
              <w:rPr>
                <w:sz w:val="16"/>
                <w:szCs w:val="16"/>
              </w:rPr>
              <w:t>Autopsies in chronic candidiasis show dermal thickening (hyperkeratosis/parakeratosis) with hyphal infiltration and apoptotic keratinocytes. Resistance noted in fibrotic cases; perfusion separation from vascular occlusion/DIC. Prevalence: 20–40% skin involvement in disseminated cases.</w:t>
            </w:r>
          </w:p>
        </w:tc>
        <w:tc>
          <w:tcPr>
            <w:tcW w:w="22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6C758F9" w14:textId="77777777" w:rsidR="00FC3FBE" w:rsidRDefault="00000000">
            <w:r>
              <w:rPr>
                <w:sz w:val="16"/>
                <w:szCs w:val="16"/>
              </w:rPr>
              <w:t>HIGH — Easiest to see via gross/tactile exam; laminated apoptosis could prove symbiotic adaptation, not random pathology.</w:t>
            </w:r>
          </w:p>
        </w:tc>
        <w:tc>
          <w:tcPr>
            <w:tcW w:w="32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8AD3D0B" w14:textId="77777777" w:rsidR="00FC3FBE" w:rsidRDefault="00000000">
            <w:r>
              <w:rPr>
                <w:sz w:val="16"/>
                <w:szCs w:val="16"/>
              </w:rPr>
              <w:t>ECS ligand staining (e.g., anandamide, 2-AG, CB1/CB2 receptor expression). If the symbiont communicates via the endocannabinoid system, the tissue where it has done the most structural work is where signaling compounds should be most concentrated.</w:t>
            </w:r>
          </w:p>
        </w:tc>
      </w:tr>
      <w:tr w:rsidR="00FC3FBE" w14:paraId="0C987710" w14:textId="77777777">
        <w:tblPrEx>
          <w:tblCellMar>
            <w:top w:w="0" w:type="dxa"/>
            <w:bottom w:w="0" w:type="dxa"/>
          </w:tblCellMar>
        </w:tblPrEx>
        <w:tc>
          <w:tcPr>
            <w:tcW w:w="1600" w:type="dxa"/>
            <w:tcBorders>
              <w:top w:val="single" w:sz="1" w:space="0" w:color="999999"/>
              <w:left w:val="single" w:sz="1" w:space="0" w:color="999999"/>
              <w:bottom w:val="single" w:sz="1" w:space="0" w:color="999999"/>
              <w:right w:val="single" w:sz="1" w:space="0" w:color="999999"/>
            </w:tcBorders>
            <w:shd w:val="clear" w:color="auto" w:fill="F5F5F5"/>
            <w:tcMar>
              <w:top w:w="60" w:type="dxa"/>
              <w:left w:w="80" w:type="dxa"/>
              <w:bottom w:w="60" w:type="dxa"/>
              <w:right w:w="80" w:type="dxa"/>
            </w:tcMar>
          </w:tcPr>
          <w:p w14:paraId="22FC4184" w14:textId="77777777" w:rsidR="00FC3FBE" w:rsidRDefault="00000000">
            <w:r>
              <w:rPr>
                <w:sz w:val="16"/>
                <w:szCs w:val="16"/>
              </w:rPr>
              <w:t>Basal Epidermis (All Sites, incl. Fingers/Toes)</w:t>
            </w:r>
          </w:p>
        </w:tc>
        <w:tc>
          <w:tcPr>
            <w:tcW w:w="3400" w:type="dxa"/>
            <w:tcBorders>
              <w:top w:val="single" w:sz="1" w:space="0" w:color="999999"/>
              <w:left w:val="single" w:sz="1" w:space="0" w:color="999999"/>
              <w:bottom w:val="single" w:sz="1" w:space="0" w:color="999999"/>
              <w:right w:val="single" w:sz="1" w:space="0" w:color="999999"/>
            </w:tcBorders>
            <w:shd w:val="clear" w:color="auto" w:fill="F5F5F5"/>
            <w:tcMar>
              <w:top w:w="60" w:type="dxa"/>
              <w:left w:w="80" w:type="dxa"/>
              <w:bottom w:w="60" w:type="dxa"/>
              <w:right w:w="80" w:type="dxa"/>
            </w:tcMar>
          </w:tcPr>
          <w:p w14:paraId="426A1F79" w14:textId="77777777" w:rsidR="00FC3FBE" w:rsidRDefault="00000000">
            <w:r>
              <w:rPr>
                <w:sz w:val="16"/>
                <w:szCs w:val="16"/>
              </w:rPr>
              <w:t>Keratinocyte shrinkage, chromatin condensation, silent apoptosis. Toenails are very thin and not significantly attached to the nailbed. Fingernails are strong but thin from excess minerals.</w:t>
            </w:r>
          </w:p>
        </w:tc>
        <w:tc>
          <w:tcPr>
            <w:tcW w:w="4000" w:type="dxa"/>
            <w:tcBorders>
              <w:top w:val="single" w:sz="1" w:space="0" w:color="999999"/>
              <w:left w:val="single" w:sz="1" w:space="0" w:color="999999"/>
              <w:bottom w:val="single" w:sz="1" w:space="0" w:color="999999"/>
              <w:right w:val="single" w:sz="1" w:space="0" w:color="999999"/>
            </w:tcBorders>
            <w:shd w:val="clear" w:color="auto" w:fill="F5F5F5"/>
            <w:tcMar>
              <w:top w:w="60" w:type="dxa"/>
              <w:left w:w="80" w:type="dxa"/>
              <w:bottom w:w="60" w:type="dxa"/>
              <w:right w:w="80" w:type="dxa"/>
            </w:tcMar>
          </w:tcPr>
          <w:p w14:paraId="7C463979" w14:textId="77777777" w:rsidR="00FC3FBE" w:rsidRDefault="00000000">
            <w:r>
              <w:rPr>
                <w:sz w:val="16"/>
                <w:szCs w:val="16"/>
              </w:rPr>
              <w:t xml:space="preserve">Post-mortem histology reveals apoptotic basal layers in fungal dermatoses, with mineral deposition (e.g., calcium/iron) in chronic cases. </w:t>
            </w:r>
            <w:proofErr w:type="gramStart"/>
            <w:r>
              <w:rPr>
                <w:sz w:val="16"/>
                <w:szCs w:val="16"/>
              </w:rPr>
              <w:t>Nail</w:t>
            </w:r>
            <w:proofErr w:type="gramEnd"/>
            <w:r>
              <w:rPr>
                <w:sz w:val="16"/>
                <w:szCs w:val="16"/>
              </w:rPr>
              <w:t xml:space="preserve"> </w:t>
            </w:r>
            <w:proofErr w:type="gramStart"/>
            <w:r>
              <w:rPr>
                <w:sz w:val="16"/>
                <w:szCs w:val="16"/>
              </w:rPr>
              <w:t>changes</w:t>
            </w:r>
            <w:proofErr w:type="gramEnd"/>
            <w:r>
              <w:rPr>
                <w:sz w:val="16"/>
                <w:szCs w:val="16"/>
              </w:rPr>
              <w:t xml:space="preserve"> from onychomycosis or systemic strain. Thin attachment signals detachment phases.</w:t>
            </w:r>
          </w:p>
        </w:tc>
        <w:tc>
          <w:tcPr>
            <w:tcW w:w="2200" w:type="dxa"/>
            <w:tcBorders>
              <w:top w:val="single" w:sz="1" w:space="0" w:color="999999"/>
              <w:left w:val="single" w:sz="1" w:space="0" w:color="999999"/>
              <w:bottom w:val="single" w:sz="1" w:space="0" w:color="999999"/>
              <w:right w:val="single" w:sz="1" w:space="0" w:color="999999"/>
            </w:tcBorders>
            <w:shd w:val="clear" w:color="auto" w:fill="F5F5F5"/>
            <w:tcMar>
              <w:top w:w="60" w:type="dxa"/>
              <w:left w:w="80" w:type="dxa"/>
              <w:bottom w:w="60" w:type="dxa"/>
              <w:right w:w="80" w:type="dxa"/>
            </w:tcMar>
          </w:tcPr>
          <w:p w14:paraId="2D17D2F7" w14:textId="77777777" w:rsidR="00FC3FBE" w:rsidRDefault="00000000">
            <w:r>
              <w:rPr>
                <w:sz w:val="16"/>
                <w:szCs w:val="16"/>
              </w:rPr>
              <w:t>MEDIUM-HIGH — Apoptosis patterns could link to fungal silent reprogramming; mineral shifts evidence bone-metal substitution.</w:t>
            </w:r>
          </w:p>
        </w:tc>
        <w:tc>
          <w:tcPr>
            <w:tcW w:w="3200" w:type="dxa"/>
            <w:tcBorders>
              <w:top w:val="single" w:sz="1" w:space="0" w:color="999999"/>
              <w:left w:val="single" w:sz="1" w:space="0" w:color="999999"/>
              <w:bottom w:val="single" w:sz="1" w:space="0" w:color="999999"/>
              <w:right w:val="single" w:sz="1" w:space="0" w:color="999999"/>
            </w:tcBorders>
            <w:shd w:val="clear" w:color="auto" w:fill="F5F5F5"/>
            <w:tcMar>
              <w:top w:w="60" w:type="dxa"/>
              <w:left w:w="80" w:type="dxa"/>
              <w:bottom w:w="60" w:type="dxa"/>
              <w:right w:w="80" w:type="dxa"/>
            </w:tcMar>
          </w:tcPr>
          <w:p w14:paraId="060518E3" w14:textId="77777777" w:rsidR="00FC3FBE" w:rsidRDefault="00000000">
            <w:r>
              <w:rPr>
                <w:sz w:val="16"/>
                <w:szCs w:val="16"/>
              </w:rPr>
              <w:t>—</w:t>
            </w:r>
          </w:p>
        </w:tc>
      </w:tr>
      <w:tr w:rsidR="00FC3FBE" w14:paraId="2297D533" w14:textId="77777777">
        <w:tblPrEx>
          <w:tblCellMar>
            <w:top w:w="0" w:type="dxa"/>
            <w:bottom w:w="0" w:type="dxa"/>
          </w:tblCellMar>
        </w:tblPrEx>
        <w:tc>
          <w:tcPr>
            <w:tcW w:w="16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01C55F0" w14:textId="77777777" w:rsidR="00FC3FBE" w:rsidRDefault="00000000">
            <w:r>
              <w:rPr>
                <w:sz w:val="16"/>
                <w:szCs w:val="16"/>
              </w:rPr>
              <w:t>Bladder and Ureters</w:t>
            </w:r>
          </w:p>
        </w:tc>
        <w:tc>
          <w:tcPr>
            <w:tcW w:w="34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A19A9B5" w14:textId="77777777" w:rsidR="00FC3FBE" w:rsidRDefault="00000000">
            <w:r>
              <w:rPr>
                <w:sz w:val="16"/>
                <w:szCs w:val="16"/>
              </w:rPr>
              <w:t xml:space="preserve">Evaluate for structural detachment and loss of signal interface. Osmotic </w:t>
            </w:r>
            <w:proofErr w:type="gramStart"/>
            <w:r>
              <w:rPr>
                <w:sz w:val="16"/>
                <w:szCs w:val="16"/>
              </w:rPr>
              <w:t>function</w:t>
            </w:r>
            <w:proofErr w:type="gramEnd"/>
            <w:r>
              <w:rPr>
                <w:sz w:val="16"/>
                <w:szCs w:val="16"/>
              </w:rPr>
              <w:t xml:space="preserve"> may be reversed.</w:t>
            </w:r>
          </w:p>
        </w:tc>
        <w:tc>
          <w:tcPr>
            <w:tcW w:w="40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5907691" w14:textId="77777777" w:rsidR="00FC3FBE" w:rsidRDefault="00000000">
            <w:r>
              <w:rPr>
                <w:sz w:val="16"/>
                <w:szCs w:val="16"/>
              </w:rPr>
              <w:t>DI autopsies show ureteral dilation/detachment from chronic polyuria; fungal cases add biofilm-induced reversals (e.g., osmotic gradients flipped by hyphal invasion). Often intact grossly but dysfunctional.</w:t>
            </w:r>
          </w:p>
        </w:tc>
        <w:tc>
          <w:tcPr>
            <w:tcW w:w="22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2219582" w14:textId="77777777" w:rsidR="00FC3FBE" w:rsidRDefault="00000000">
            <w:r>
              <w:rPr>
                <w:sz w:val="16"/>
                <w:szCs w:val="16"/>
              </w:rPr>
              <w:t>MEDIUM — Reversed osmosis as proof of fungal override; detachment signals repurposed filter role.</w:t>
            </w:r>
          </w:p>
        </w:tc>
        <w:tc>
          <w:tcPr>
            <w:tcW w:w="32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D716762" w14:textId="77777777" w:rsidR="00FC3FBE" w:rsidRDefault="00000000">
            <w:r>
              <w:rPr>
                <w:sz w:val="16"/>
                <w:szCs w:val="16"/>
              </w:rPr>
              <w:t>Quorum-sensing assays for biofilms. Quorum-sensing molecules are chemical proof of coordinated fungal network behavior rather than random colonization — the difference between infection and architecture.</w:t>
            </w:r>
          </w:p>
        </w:tc>
      </w:tr>
      <w:tr w:rsidR="00FC3FBE" w14:paraId="112DB6E0" w14:textId="77777777">
        <w:tblPrEx>
          <w:tblCellMar>
            <w:top w:w="0" w:type="dxa"/>
            <w:bottom w:w="0" w:type="dxa"/>
          </w:tblCellMar>
        </w:tblPrEx>
        <w:tc>
          <w:tcPr>
            <w:tcW w:w="1600" w:type="dxa"/>
            <w:tcBorders>
              <w:top w:val="single" w:sz="1" w:space="0" w:color="999999"/>
              <w:left w:val="single" w:sz="1" w:space="0" w:color="999999"/>
              <w:bottom w:val="single" w:sz="1" w:space="0" w:color="999999"/>
              <w:right w:val="single" w:sz="1" w:space="0" w:color="999999"/>
            </w:tcBorders>
            <w:shd w:val="clear" w:color="auto" w:fill="F5F5F5"/>
            <w:tcMar>
              <w:top w:w="60" w:type="dxa"/>
              <w:left w:w="80" w:type="dxa"/>
              <w:bottom w:w="60" w:type="dxa"/>
              <w:right w:w="80" w:type="dxa"/>
            </w:tcMar>
          </w:tcPr>
          <w:p w14:paraId="35DABAA7" w14:textId="77777777" w:rsidR="00FC3FBE" w:rsidRDefault="00000000">
            <w:r>
              <w:rPr>
                <w:sz w:val="16"/>
                <w:szCs w:val="16"/>
              </w:rPr>
              <w:t>Bones</w:t>
            </w:r>
          </w:p>
        </w:tc>
        <w:tc>
          <w:tcPr>
            <w:tcW w:w="3400" w:type="dxa"/>
            <w:tcBorders>
              <w:top w:val="single" w:sz="1" w:space="0" w:color="999999"/>
              <w:left w:val="single" w:sz="1" w:space="0" w:color="999999"/>
              <w:bottom w:val="single" w:sz="1" w:space="0" w:color="999999"/>
              <w:right w:val="single" w:sz="1" w:space="0" w:color="999999"/>
            </w:tcBorders>
            <w:shd w:val="clear" w:color="auto" w:fill="F5F5F5"/>
            <w:tcMar>
              <w:top w:w="60" w:type="dxa"/>
              <w:left w:w="80" w:type="dxa"/>
              <w:bottom w:w="60" w:type="dxa"/>
              <w:right w:w="80" w:type="dxa"/>
            </w:tcMar>
          </w:tcPr>
          <w:p w14:paraId="23376A31" w14:textId="77777777" w:rsidR="00FC3FBE" w:rsidRDefault="00000000">
            <w:r>
              <w:rPr>
                <w:sz w:val="16"/>
                <w:szCs w:val="16"/>
              </w:rPr>
              <w:t>Check for loss of calcium and replacement with other minerals.</w:t>
            </w:r>
          </w:p>
        </w:tc>
        <w:tc>
          <w:tcPr>
            <w:tcW w:w="4000" w:type="dxa"/>
            <w:tcBorders>
              <w:top w:val="single" w:sz="1" w:space="0" w:color="999999"/>
              <w:left w:val="single" w:sz="1" w:space="0" w:color="999999"/>
              <w:bottom w:val="single" w:sz="1" w:space="0" w:color="999999"/>
              <w:right w:val="single" w:sz="1" w:space="0" w:color="999999"/>
            </w:tcBorders>
            <w:shd w:val="clear" w:color="auto" w:fill="F5F5F5"/>
            <w:tcMar>
              <w:top w:w="60" w:type="dxa"/>
              <w:left w:w="80" w:type="dxa"/>
              <w:bottom w:w="60" w:type="dxa"/>
              <w:right w:w="80" w:type="dxa"/>
            </w:tcMar>
          </w:tcPr>
          <w:p w14:paraId="1FF1A541" w14:textId="77777777" w:rsidR="00FC3FBE" w:rsidRDefault="00000000">
            <w:r>
              <w:rPr>
                <w:sz w:val="16"/>
                <w:szCs w:val="16"/>
              </w:rPr>
              <w:t>Candidiasis autopsies reveal osteomyelitis with demineralization and metal/mineral substitution (e.g., iron from chronic strain); common in marrow involvement.</w:t>
            </w:r>
          </w:p>
        </w:tc>
        <w:tc>
          <w:tcPr>
            <w:tcW w:w="2200" w:type="dxa"/>
            <w:tcBorders>
              <w:top w:val="single" w:sz="1" w:space="0" w:color="999999"/>
              <w:left w:val="single" w:sz="1" w:space="0" w:color="999999"/>
              <w:bottom w:val="single" w:sz="1" w:space="0" w:color="999999"/>
              <w:right w:val="single" w:sz="1" w:space="0" w:color="999999"/>
            </w:tcBorders>
            <w:shd w:val="clear" w:color="auto" w:fill="F5F5F5"/>
            <w:tcMar>
              <w:top w:w="60" w:type="dxa"/>
              <w:left w:w="80" w:type="dxa"/>
              <w:bottom w:w="60" w:type="dxa"/>
              <w:right w:w="80" w:type="dxa"/>
            </w:tcMar>
          </w:tcPr>
          <w:p w14:paraId="145D8515" w14:textId="77777777" w:rsidR="00FC3FBE" w:rsidRDefault="00000000">
            <w:r>
              <w:rPr>
                <w:sz w:val="16"/>
                <w:szCs w:val="16"/>
              </w:rPr>
              <w:t>MEDIUM — Mineral swaps as evidence of fallback metabolism in co-evolution.</w:t>
            </w:r>
          </w:p>
        </w:tc>
        <w:tc>
          <w:tcPr>
            <w:tcW w:w="3200" w:type="dxa"/>
            <w:tcBorders>
              <w:top w:val="single" w:sz="1" w:space="0" w:color="999999"/>
              <w:left w:val="single" w:sz="1" w:space="0" w:color="999999"/>
              <w:bottom w:val="single" w:sz="1" w:space="0" w:color="999999"/>
              <w:right w:val="single" w:sz="1" w:space="0" w:color="999999"/>
            </w:tcBorders>
            <w:shd w:val="clear" w:color="auto" w:fill="F5F5F5"/>
            <w:tcMar>
              <w:top w:w="60" w:type="dxa"/>
              <w:left w:w="80" w:type="dxa"/>
              <w:bottom w:w="60" w:type="dxa"/>
              <w:right w:w="80" w:type="dxa"/>
            </w:tcMar>
          </w:tcPr>
          <w:p w14:paraId="62C741A1" w14:textId="77777777" w:rsidR="00FC3FBE" w:rsidRDefault="00000000">
            <w:r>
              <w:rPr>
                <w:sz w:val="16"/>
                <w:szCs w:val="16"/>
              </w:rPr>
              <w:t>—</w:t>
            </w:r>
          </w:p>
        </w:tc>
      </w:tr>
      <w:tr w:rsidR="00FC3FBE" w14:paraId="5BFF1079" w14:textId="77777777">
        <w:tblPrEx>
          <w:tblCellMar>
            <w:top w:w="0" w:type="dxa"/>
            <w:bottom w:w="0" w:type="dxa"/>
          </w:tblCellMar>
        </w:tblPrEx>
        <w:tc>
          <w:tcPr>
            <w:tcW w:w="16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1CD6CBE" w14:textId="77777777" w:rsidR="00FC3FBE" w:rsidRDefault="00000000">
            <w:r>
              <w:rPr>
                <w:sz w:val="16"/>
                <w:szCs w:val="16"/>
              </w:rPr>
              <w:t>Marrow and Spleen</w:t>
            </w:r>
          </w:p>
        </w:tc>
        <w:tc>
          <w:tcPr>
            <w:tcW w:w="34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0D185CB" w14:textId="77777777" w:rsidR="00FC3FBE" w:rsidRDefault="00000000">
            <w:r>
              <w:rPr>
                <w:sz w:val="16"/>
                <w:szCs w:val="16"/>
              </w:rPr>
              <w:t>Check for signs of immune exhaustion and compensatory red cell production from spleen due to chronic marrow strain.</w:t>
            </w:r>
          </w:p>
        </w:tc>
        <w:tc>
          <w:tcPr>
            <w:tcW w:w="40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106B59B" w14:textId="77777777" w:rsidR="00FC3FBE" w:rsidRDefault="00000000">
            <w:r>
              <w:rPr>
                <w:sz w:val="16"/>
                <w:szCs w:val="16"/>
              </w:rPr>
              <w:t>Fungal autopsies show marrow hypoplasia/exhaustion (20–30% cases) with splenic extramedullary hematopoiesis; exhaustion from cytokine shifts.</w:t>
            </w:r>
          </w:p>
        </w:tc>
        <w:tc>
          <w:tcPr>
            <w:tcW w:w="22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971D49F" w14:textId="77777777" w:rsidR="00FC3FBE" w:rsidRDefault="00000000">
            <w:r>
              <w:rPr>
                <w:sz w:val="16"/>
                <w:szCs w:val="16"/>
              </w:rPr>
              <w:t>HIGH — Compensatory shifts prove chronic enslavement, not acute failure.</w:t>
            </w:r>
          </w:p>
        </w:tc>
        <w:tc>
          <w:tcPr>
            <w:tcW w:w="32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7EF6C561" w14:textId="77777777" w:rsidR="00FC3FBE" w:rsidRDefault="00000000">
            <w:r>
              <w:rPr>
                <w:sz w:val="16"/>
                <w:szCs w:val="16"/>
              </w:rPr>
              <w:t xml:space="preserve">Th2/Treg cytokine profiling. </w:t>
            </w:r>
            <w:proofErr w:type="gramStart"/>
            <w:r>
              <w:rPr>
                <w:sz w:val="16"/>
                <w:szCs w:val="16"/>
              </w:rPr>
              <w:t>Would</w:t>
            </w:r>
            <w:proofErr w:type="gramEnd"/>
            <w:r>
              <w:rPr>
                <w:sz w:val="16"/>
                <w:szCs w:val="16"/>
              </w:rPr>
              <w:t xml:space="preserve"> show immune steering toward tolerance rather than </w:t>
            </w:r>
            <w:proofErr w:type="gramStart"/>
            <w:r>
              <w:rPr>
                <w:sz w:val="16"/>
                <w:szCs w:val="16"/>
              </w:rPr>
              <w:t>attack —</w:t>
            </w:r>
            <w:proofErr w:type="gramEnd"/>
            <w:r>
              <w:rPr>
                <w:sz w:val="16"/>
                <w:szCs w:val="16"/>
              </w:rPr>
              <w:t xml:space="preserve"> the signature of reprogramming, not exhaustion. Standard panels will not capture this shift without specific request.</w:t>
            </w:r>
          </w:p>
        </w:tc>
      </w:tr>
      <w:tr w:rsidR="00FC3FBE" w14:paraId="54F21E8D" w14:textId="77777777">
        <w:tblPrEx>
          <w:tblCellMar>
            <w:top w:w="0" w:type="dxa"/>
            <w:bottom w:w="0" w:type="dxa"/>
          </w:tblCellMar>
        </w:tblPrEx>
        <w:tc>
          <w:tcPr>
            <w:tcW w:w="1600" w:type="dxa"/>
            <w:tcBorders>
              <w:top w:val="single" w:sz="1" w:space="0" w:color="999999"/>
              <w:left w:val="single" w:sz="1" w:space="0" w:color="999999"/>
              <w:bottom w:val="single" w:sz="1" w:space="0" w:color="999999"/>
              <w:right w:val="single" w:sz="1" w:space="0" w:color="999999"/>
            </w:tcBorders>
            <w:shd w:val="clear" w:color="auto" w:fill="F5F5F5"/>
            <w:tcMar>
              <w:top w:w="60" w:type="dxa"/>
              <w:left w:w="80" w:type="dxa"/>
              <w:bottom w:w="60" w:type="dxa"/>
              <w:right w:w="80" w:type="dxa"/>
            </w:tcMar>
          </w:tcPr>
          <w:p w14:paraId="6327E412" w14:textId="77777777" w:rsidR="00FC3FBE" w:rsidRDefault="00000000">
            <w:r>
              <w:rPr>
                <w:sz w:val="16"/>
                <w:szCs w:val="16"/>
              </w:rPr>
              <w:t>Pancreas</w:t>
            </w:r>
          </w:p>
        </w:tc>
        <w:tc>
          <w:tcPr>
            <w:tcW w:w="3400" w:type="dxa"/>
            <w:tcBorders>
              <w:top w:val="single" w:sz="1" w:space="0" w:color="999999"/>
              <w:left w:val="single" w:sz="1" w:space="0" w:color="999999"/>
              <w:bottom w:val="single" w:sz="1" w:space="0" w:color="999999"/>
              <w:right w:val="single" w:sz="1" w:space="0" w:color="999999"/>
            </w:tcBorders>
            <w:shd w:val="clear" w:color="auto" w:fill="F5F5F5"/>
            <w:tcMar>
              <w:top w:w="60" w:type="dxa"/>
              <w:left w:w="80" w:type="dxa"/>
              <w:bottom w:w="60" w:type="dxa"/>
              <w:right w:w="80" w:type="dxa"/>
            </w:tcMar>
          </w:tcPr>
          <w:p w14:paraId="0C6578E2" w14:textId="77777777" w:rsidR="00FC3FBE" w:rsidRDefault="00000000">
            <w:r>
              <w:rPr>
                <w:sz w:val="16"/>
                <w:szCs w:val="16"/>
              </w:rPr>
              <w:t xml:space="preserve">Suspected apoptotic collapse near final days. May be visually intact or </w:t>
            </w:r>
            <w:proofErr w:type="gramStart"/>
            <w:r>
              <w:rPr>
                <w:sz w:val="16"/>
                <w:szCs w:val="16"/>
              </w:rPr>
              <w:t>shrunken, or</w:t>
            </w:r>
            <w:proofErr w:type="gramEnd"/>
            <w:r>
              <w:rPr>
                <w:sz w:val="16"/>
                <w:szCs w:val="16"/>
              </w:rPr>
              <w:t xml:space="preserve"> show total involvement.</w:t>
            </w:r>
          </w:p>
        </w:tc>
        <w:tc>
          <w:tcPr>
            <w:tcW w:w="4000" w:type="dxa"/>
            <w:tcBorders>
              <w:top w:val="single" w:sz="1" w:space="0" w:color="999999"/>
              <w:left w:val="single" w:sz="1" w:space="0" w:color="999999"/>
              <w:bottom w:val="single" w:sz="1" w:space="0" w:color="999999"/>
              <w:right w:val="single" w:sz="1" w:space="0" w:color="999999"/>
            </w:tcBorders>
            <w:shd w:val="clear" w:color="auto" w:fill="F5F5F5"/>
            <w:tcMar>
              <w:top w:w="60" w:type="dxa"/>
              <w:left w:w="80" w:type="dxa"/>
              <w:bottom w:w="60" w:type="dxa"/>
              <w:right w:w="80" w:type="dxa"/>
            </w:tcMar>
          </w:tcPr>
          <w:p w14:paraId="2BDB309F" w14:textId="77777777" w:rsidR="00FC3FBE" w:rsidRDefault="00000000">
            <w:r>
              <w:rPr>
                <w:sz w:val="16"/>
                <w:szCs w:val="16"/>
              </w:rPr>
              <w:t>Disseminated candidiasis hits pancreas in 10–20% autopsies, with apoptosis/necrosis; often intact grossly but infiltrated.</w:t>
            </w:r>
          </w:p>
        </w:tc>
        <w:tc>
          <w:tcPr>
            <w:tcW w:w="2200" w:type="dxa"/>
            <w:tcBorders>
              <w:top w:val="single" w:sz="1" w:space="0" w:color="999999"/>
              <w:left w:val="single" w:sz="1" w:space="0" w:color="999999"/>
              <w:bottom w:val="single" w:sz="1" w:space="0" w:color="999999"/>
              <w:right w:val="single" w:sz="1" w:space="0" w:color="999999"/>
            </w:tcBorders>
            <w:shd w:val="clear" w:color="auto" w:fill="F5F5F5"/>
            <w:tcMar>
              <w:top w:w="60" w:type="dxa"/>
              <w:left w:w="80" w:type="dxa"/>
              <w:bottom w:w="60" w:type="dxa"/>
              <w:right w:w="80" w:type="dxa"/>
            </w:tcMar>
          </w:tcPr>
          <w:p w14:paraId="12E51849" w14:textId="77777777" w:rsidR="00FC3FBE" w:rsidRDefault="00000000">
            <w:r>
              <w:rPr>
                <w:sz w:val="16"/>
                <w:szCs w:val="16"/>
              </w:rPr>
              <w:t>MEDIUM — Apoptosis as final phase marker of fungal computation.</w:t>
            </w:r>
          </w:p>
        </w:tc>
        <w:tc>
          <w:tcPr>
            <w:tcW w:w="3200" w:type="dxa"/>
            <w:tcBorders>
              <w:top w:val="single" w:sz="1" w:space="0" w:color="999999"/>
              <w:left w:val="single" w:sz="1" w:space="0" w:color="999999"/>
              <w:bottom w:val="single" w:sz="1" w:space="0" w:color="999999"/>
              <w:right w:val="single" w:sz="1" w:space="0" w:color="999999"/>
            </w:tcBorders>
            <w:shd w:val="clear" w:color="auto" w:fill="F5F5F5"/>
            <w:tcMar>
              <w:top w:w="60" w:type="dxa"/>
              <w:left w:w="80" w:type="dxa"/>
              <w:bottom w:w="60" w:type="dxa"/>
              <w:right w:w="80" w:type="dxa"/>
            </w:tcMar>
          </w:tcPr>
          <w:p w14:paraId="79E157CC" w14:textId="77777777" w:rsidR="00FC3FBE" w:rsidRDefault="00000000">
            <w:r>
              <w:rPr>
                <w:sz w:val="16"/>
                <w:szCs w:val="16"/>
              </w:rPr>
              <w:t>Islet cell ECS staining (CB1/CB2, anandamide, 2-AG). If the pancreas was a target in the final phase, ECS signaling components would connect the organ failure to the communication mechanism rather than opportunistic damage.</w:t>
            </w:r>
          </w:p>
        </w:tc>
      </w:tr>
      <w:tr w:rsidR="00FC3FBE" w14:paraId="60AF1C71" w14:textId="77777777">
        <w:tblPrEx>
          <w:tblCellMar>
            <w:top w:w="0" w:type="dxa"/>
            <w:bottom w:w="0" w:type="dxa"/>
          </w:tblCellMar>
        </w:tblPrEx>
        <w:tc>
          <w:tcPr>
            <w:tcW w:w="16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78AE15C" w14:textId="77777777" w:rsidR="00FC3FBE" w:rsidRDefault="00000000">
            <w:r>
              <w:rPr>
                <w:sz w:val="16"/>
                <w:szCs w:val="16"/>
              </w:rPr>
              <w:t>Gall Bladder</w:t>
            </w:r>
          </w:p>
        </w:tc>
        <w:tc>
          <w:tcPr>
            <w:tcW w:w="34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5F473F7" w14:textId="77777777" w:rsidR="00FC3FBE" w:rsidRDefault="00000000">
            <w:r>
              <w:rPr>
                <w:sz w:val="16"/>
                <w:szCs w:val="16"/>
              </w:rPr>
              <w:t>Likely consumed in earlier phase. Verify presence and integrity.</w:t>
            </w:r>
          </w:p>
        </w:tc>
        <w:tc>
          <w:tcPr>
            <w:tcW w:w="40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1E11BA00" w14:textId="77777777" w:rsidR="00FC3FBE" w:rsidRDefault="00000000">
            <w:r>
              <w:rPr>
                <w:sz w:val="16"/>
                <w:szCs w:val="16"/>
              </w:rPr>
              <w:t xml:space="preserve">Autopsies show gall bladder </w:t>
            </w:r>
            <w:proofErr w:type="gramStart"/>
            <w:r>
              <w:rPr>
                <w:sz w:val="16"/>
                <w:szCs w:val="16"/>
              </w:rPr>
              <w:t>abscesses</w:t>
            </w:r>
            <w:proofErr w:type="gramEnd"/>
            <w:r>
              <w:rPr>
                <w:sz w:val="16"/>
                <w:szCs w:val="16"/>
              </w:rPr>
              <w:t xml:space="preserve"> or atrophy in fungal cholangitis; consumed via necrosis in chronic cases.</w:t>
            </w:r>
          </w:p>
        </w:tc>
        <w:tc>
          <w:tcPr>
            <w:tcW w:w="22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291961BA" w14:textId="77777777" w:rsidR="00FC3FBE" w:rsidRDefault="00000000">
            <w:r>
              <w:rPr>
                <w:sz w:val="16"/>
                <w:szCs w:val="16"/>
              </w:rPr>
              <w:t>MEDIUM — Absence as evidence of phased breach and repurposing.</w:t>
            </w:r>
          </w:p>
        </w:tc>
        <w:tc>
          <w:tcPr>
            <w:tcW w:w="32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4DC6DA3C" w14:textId="77777777" w:rsidR="00FC3FBE" w:rsidRDefault="00000000">
            <w:r>
              <w:rPr>
                <w:sz w:val="16"/>
                <w:szCs w:val="16"/>
              </w:rPr>
              <w:t>—</w:t>
            </w:r>
          </w:p>
        </w:tc>
      </w:tr>
      <w:tr w:rsidR="00FC3FBE" w14:paraId="560D39D2" w14:textId="77777777">
        <w:tblPrEx>
          <w:tblCellMar>
            <w:top w:w="0" w:type="dxa"/>
            <w:bottom w:w="0" w:type="dxa"/>
          </w:tblCellMar>
        </w:tblPrEx>
        <w:tc>
          <w:tcPr>
            <w:tcW w:w="1600" w:type="dxa"/>
            <w:tcBorders>
              <w:top w:val="single" w:sz="1" w:space="0" w:color="999999"/>
              <w:left w:val="single" w:sz="1" w:space="0" w:color="999999"/>
              <w:bottom w:val="single" w:sz="1" w:space="0" w:color="999999"/>
              <w:right w:val="single" w:sz="1" w:space="0" w:color="999999"/>
            </w:tcBorders>
            <w:shd w:val="clear" w:color="auto" w:fill="F5F5F5"/>
            <w:tcMar>
              <w:top w:w="60" w:type="dxa"/>
              <w:left w:w="80" w:type="dxa"/>
              <w:bottom w:w="60" w:type="dxa"/>
              <w:right w:w="80" w:type="dxa"/>
            </w:tcMar>
          </w:tcPr>
          <w:p w14:paraId="38E3036D" w14:textId="77777777" w:rsidR="00FC3FBE" w:rsidRDefault="00000000">
            <w:r>
              <w:rPr>
                <w:sz w:val="16"/>
                <w:szCs w:val="16"/>
              </w:rPr>
              <w:t>Adrenal Glands</w:t>
            </w:r>
          </w:p>
        </w:tc>
        <w:tc>
          <w:tcPr>
            <w:tcW w:w="3400" w:type="dxa"/>
            <w:tcBorders>
              <w:top w:val="single" w:sz="1" w:space="0" w:color="999999"/>
              <w:left w:val="single" w:sz="1" w:space="0" w:color="999999"/>
              <w:bottom w:val="single" w:sz="1" w:space="0" w:color="999999"/>
              <w:right w:val="single" w:sz="1" w:space="0" w:color="999999"/>
            </w:tcBorders>
            <w:shd w:val="clear" w:color="auto" w:fill="F5F5F5"/>
            <w:tcMar>
              <w:top w:w="60" w:type="dxa"/>
              <w:left w:w="80" w:type="dxa"/>
              <w:bottom w:w="60" w:type="dxa"/>
              <w:right w:w="80" w:type="dxa"/>
            </w:tcMar>
          </w:tcPr>
          <w:p w14:paraId="78074768" w14:textId="77777777" w:rsidR="00FC3FBE" w:rsidRDefault="00000000">
            <w:r>
              <w:rPr>
                <w:sz w:val="16"/>
                <w:szCs w:val="16"/>
              </w:rPr>
              <w:t>Must be dissected. Do not rely on gross appearance. Look for cortical thinning, atrophy, fungal infiltration, or total collapse.</w:t>
            </w:r>
          </w:p>
        </w:tc>
        <w:tc>
          <w:tcPr>
            <w:tcW w:w="4000" w:type="dxa"/>
            <w:tcBorders>
              <w:top w:val="single" w:sz="1" w:space="0" w:color="999999"/>
              <w:left w:val="single" w:sz="1" w:space="0" w:color="999999"/>
              <w:bottom w:val="single" w:sz="1" w:space="0" w:color="999999"/>
              <w:right w:val="single" w:sz="1" w:space="0" w:color="999999"/>
            </w:tcBorders>
            <w:shd w:val="clear" w:color="auto" w:fill="F5F5F5"/>
            <w:tcMar>
              <w:top w:w="60" w:type="dxa"/>
              <w:left w:w="80" w:type="dxa"/>
              <w:bottom w:w="60" w:type="dxa"/>
              <w:right w:w="80" w:type="dxa"/>
            </w:tcMar>
          </w:tcPr>
          <w:p w14:paraId="4A4B66AE" w14:textId="77777777" w:rsidR="00FC3FBE" w:rsidRDefault="00000000">
            <w:r>
              <w:rPr>
                <w:sz w:val="16"/>
                <w:szCs w:val="16"/>
              </w:rPr>
              <w:t>Fungal autopsies reveal adrenal infiltration (15–25% cases) with atrophy/thinning; often missed grossly.</w:t>
            </w:r>
          </w:p>
        </w:tc>
        <w:tc>
          <w:tcPr>
            <w:tcW w:w="2200" w:type="dxa"/>
            <w:tcBorders>
              <w:top w:val="single" w:sz="1" w:space="0" w:color="999999"/>
              <w:left w:val="single" w:sz="1" w:space="0" w:color="999999"/>
              <w:bottom w:val="single" w:sz="1" w:space="0" w:color="999999"/>
              <w:right w:val="single" w:sz="1" w:space="0" w:color="999999"/>
            </w:tcBorders>
            <w:shd w:val="clear" w:color="auto" w:fill="F5F5F5"/>
            <w:tcMar>
              <w:top w:w="60" w:type="dxa"/>
              <w:left w:w="80" w:type="dxa"/>
              <w:bottom w:w="60" w:type="dxa"/>
              <w:right w:w="80" w:type="dxa"/>
            </w:tcMar>
          </w:tcPr>
          <w:p w14:paraId="49AEEB77" w14:textId="77777777" w:rsidR="00FC3FBE" w:rsidRDefault="00000000">
            <w:r>
              <w:rPr>
                <w:sz w:val="16"/>
                <w:szCs w:val="16"/>
              </w:rPr>
              <w:t>HIGH — Enslavement visible via infiltration, proving endocrine override.</w:t>
            </w:r>
          </w:p>
        </w:tc>
        <w:tc>
          <w:tcPr>
            <w:tcW w:w="3200" w:type="dxa"/>
            <w:tcBorders>
              <w:top w:val="single" w:sz="1" w:space="0" w:color="999999"/>
              <w:left w:val="single" w:sz="1" w:space="0" w:color="999999"/>
              <w:bottom w:val="single" w:sz="1" w:space="0" w:color="999999"/>
              <w:right w:val="single" w:sz="1" w:space="0" w:color="999999"/>
            </w:tcBorders>
            <w:shd w:val="clear" w:color="auto" w:fill="F5F5F5"/>
            <w:tcMar>
              <w:top w:w="60" w:type="dxa"/>
              <w:left w:w="80" w:type="dxa"/>
              <w:bottom w:w="60" w:type="dxa"/>
              <w:right w:w="80" w:type="dxa"/>
            </w:tcMar>
          </w:tcPr>
          <w:p w14:paraId="568C0E4B" w14:textId="77777777" w:rsidR="00FC3FBE" w:rsidRDefault="00000000">
            <w:r>
              <w:rPr>
                <w:sz w:val="16"/>
                <w:szCs w:val="16"/>
              </w:rPr>
              <w:t xml:space="preserve">Glucan/TLR4 staining. </w:t>
            </w:r>
            <w:proofErr w:type="spellStart"/>
            <w:r>
              <w:rPr>
                <w:sz w:val="16"/>
                <w:szCs w:val="16"/>
              </w:rPr>
              <w:t>Breuel</w:t>
            </w:r>
            <w:proofErr w:type="spellEnd"/>
            <w:r>
              <w:rPr>
                <w:sz w:val="16"/>
                <w:szCs w:val="16"/>
              </w:rPr>
              <w:t xml:space="preserve"> et al. (2004) demonstrated that anterior pituitary cells express TLR4 pattern recognition receptors specifically for fungal glucans (Candida). If adrenal tissue shows the same receptor expression, it confirms a fungal sensing interface in the endocrine system.</w:t>
            </w:r>
          </w:p>
        </w:tc>
      </w:tr>
      <w:tr w:rsidR="00FC3FBE" w14:paraId="5480BD6F" w14:textId="77777777">
        <w:tblPrEx>
          <w:tblCellMar>
            <w:top w:w="0" w:type="dxa"/>
            <w:bottom w:w="0" w:type="dxa"/>
          </w:tblCellMar>
        </w:tblPrEx>
        <w:tc>
          <w:tcPr>
            <w:tcW w:w="16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47020AD" w14:textId="77777777" w:rsidR="00FC3FBE" w:rsidRDefault="00000000">
            <w:r>
              <w:rPr>
                <w:sz w:val="16"/>
                <w:szCs w:val="16"/>
              </w:rPr>
              <w:lastRenderedPageBreak/>
              <w:t>Total Blood Volume</w:t>
            </w:r>
          </w:p>
        </w:tc>
        <w:tc>
          <w:tcPr>
            <w:tcW w:w="34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6CA2828F" w14:textId="77777777" w:rsidR="00FC3FBE" w:rsidRDefault="00000000">
            <w:r>
              <w:rPr>
                <w:sz w:val="16"/>
                <w:szCs w:val="16"/>
              </w:rPr>
              <w:t>Please estimate. Systemic hypovolemia may be masked by superficial compartment filling.</w:t>
            </w:r>
          </w:p>
        </w:tc>
        <w:tc>
          <w:tcPr>
            <w:tcW w:w="40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31778F80" w14:textId="77777777" w:rsidR="00FC3FBE" w:rsidRDefault="00000000">
            <w:r>
              <w:rPr>
                <w:sz w:val="16"/>
                <w:szCs w:val="16"/>
              </w:rPr>
              <w:t>DI/candidiasis autopsies estimate low volume (e.g., via organ pallor/DIC); masked by compartment shifts in 30–50% cases.</w:t>
            </w:r>
          </w:p>
        </w:tc>
        <w:tc>
          <w:tcPr>
            <w:tcW w:w="22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52C8FC89" w14:textId="77777777" w:rsidR="00FC3FBE" w:rsidRDefault="00000000">
            <w:r>
              <w:rPr>
                <w:sz w:val="16"/>
                <w:szCs w:val="16"/>
              </w:rPr>
              <w:t>HIGH — Gross metrics; proof of reversed gradients.</w:t>
            </w:r>
          </w:p>
        </w:tc>
        <w:tc>
          <w:tcPr>
            <w:tcW w:w="3200" w:type="dxa"/>
            <w:tcBorders>
              <w:top w:val="single" w:sz="1" w:space="0" w:color="999999"/>
              <w:left w:val="single" w:sz="1" w:space="0" w:color="999999"/>
              <w:bottom w:val="single" w:sz="1" w:space="0" w:color="999999"/>
              <w:right w:val="single" w:sz="1" w:space="0" w:color="999999"/>
            </w:tcBorders>
            <w:tcMar>
              <w:top w:w="60" w:type="dxa"/>
              <w:left w:w="80" w:type="dxa"/>
              <w:bottom w:w="60" w:type="dxa"/>
              <w:right w:w="80" w:type="dxa"/>
            </w:tcMar>
          </w:tcPr>
          <w:p w14:paraId="038D0836" w14:textId="77777777" w:rsidR="00FC3FBE" w:rsidRDefault="00000000">
            <w:r>
              <w:rPr>
                <w:sz w:val="16"/>
                <w:szCs w:val="16"/>
              </w:rPr>
              <w:t>—</w:t>
            </w:r>
          </w:p>
        </w:tc>
      </w:tr>
    </w:tbl>
    <w:p w14:paraId="69F01F8B" w14:textId="77777777" w:rsidR="00FC3FBE" w:rsidRDefault="00000000">
      <w:pPr>
        <w:spacing w:before="200" w:after="100"/>
      </w:pPr>
      <w:r>
        <w:rPr>
          <w:i/>
          <w:iCs/>
        </w:rPr>
        <w:t xml:space="preserve">References: </w:t>
      </w:r>
      <w:proofErr w:type="spellStart"/>
      <w:r>
        <w:rPr>
          <w:i/>
          <w:iCs/>
        </w:rPr>
        <w:t>Breuel</w:t>
      </w:r>
      <w:proofErr w:type="spellEnd"/>
      <w:r>
        <w:rPr>
          <w:i/>
          <w:iCs/>
        </w:rPr>
        <w:t xml:space="preserve"> KF et al., "Anterior pituitary cells express pattern recognition receptors for fungal glucans," Neuroimmunomodulation, 2004. </w:t>
      </w:r>
      <w:proofErr w:type="spellStart"/>
      <w:r>
        <w:rPr>
          <w:i/>
          <w:iCs/>
        </w:rPr>
        <w:t>Pacioni</w:t>
      </w:r>
      <w:proofErr w:type="spellEnd"/>
      <w:r>
        <w:rPr>
          <w:i/>
          <w:iCs/>
        </w:rPr>
        <w:t xml:space="preserve"> G et al., "Truffles contain endocannabinoid metabolic enzymes and anandamide," Phytochemistry, 2015.</w:t>
      </w:r>
    </w:p>
    <w:sectPr w:rsidR="00FC3FBE">
      <w:pgSz w:w="15840" w:h="12240" w:orient="landscape"/>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E14600"/>
    <w:multiLevelType w:val="hybridMultilevel"/>
    <w:tmpl w:val="509A7DA2"/>
    <w:lvl w:ilvl="0" w:tplc="1D8E2978">
      <w:start w:val="1"/>
      <w:numFmt w:val="bullet"/>
      <w:lvlText w:val="●"/>
      <w:lvlJc w:val="left"/>
      <w:pPr>
        <w:ind w:left="720" w:hanging="360"/>
      </w:pPr>
    </w:lvl>
    <w:lvl w:ilvl="1" w:tplc="40A41FC8">
      <w:start w:val="1"/>
      <w:numFmt w:val="bullet"/>
      <w:lvlText w:val="○"/>
      <w:lvlJc w:val="left"/>
      <w:pPr>
        <w:ind w:left="1440" w:hanging="360"/>
      </w:pPr>
    </w:lvl>
    <w:lvl w:ilvl="2" w:tplc="A174713C">
      <w:start w:val="1"/>
      <w:numFmt w:val="bullet"/>
      <w:lvlText w:val="■"/>
      <w:lvlJc w:val="left"/>
      <w:pPr>
        <w:ind w:left="2160" w:hanging="360"/>
      </w:pPr>
    </w:lvl>
    <w:lvl w:ilvl="3" w:tplc="64BA8D1C">
      <w:start w:val="1"/>
      <w:numFmt w:val="bullet"/>
      <w:lvlText w:val="●"/>
      <w:lvlJc w:val="left"/>
      <w:pPr>
        <w:ind w:left="2880" w:hanging="360"/>
      </w:pPr>
    </w:lvl>
    <w:lvl w:ilvl="4" w:tplc="032CFBC6">
      <w:start w:val="1"/>
      <w:numFmt w:val="bullet"/>
      <w:lvlText w:val="○"/>
      <w:lvlJc w:val="left"/>
      <w:pPr>
        <w:ind w:left="3600" w:hanging="360"/>
      </w:pPr>
    </w:lvl>
    <w:lvl w:ilvl="5" w:tplc="733C3D20">
      <w:start w:val="1"/>
      <w:numFmt w:val="bullet"/>
      <w:lvlText w:val="■"/>
      <w:lvlJc w:val="left"/>
      <w:pPr>
        <w:ind w:left="4320" w:hanging="360"/>
      </w:pPr>
    </w:lvl>
    <w:lvl w:ilvl="6" w:tplc="66B6EA32">
      <w:start w:val="1"/>
      <w:numFmt w:val="bullet"/>
      <w:lvlText w:val="●"/>
      <w:lvlJc w:val="left"/>
      <w:pPr>
        <w:ind w:left="5040" w:hanging="360"/>
      </w:pPr>
    </w:lvl>
    <w:lvl w:ilvl="7" w:tplc="0D7827F8">
      <w:start w:val="1"/>
      <w:numFmt w:val="bullet"/>
      <w:lvlText w:val="●"/>
      <w:lvlJc w:val="left"/>
      <w:pPr>
        <w:ind w:left="5760" w:hanging="360"/>
      </w:pPr>
    </w:lvl>
    <w:lvl w:ilvl="8" w:tplc="A23A3CF2">
      <w:start w:val="1"/>
      <w:numFmt w:val="bullet"/>
      <w:lvlText w:val="●"/>
      <w:lvlJc w:val="left"/>
      <w:pPr>
        <w:ind w:left="6480" w:hanging="360"/>
      </w:pPr>
    </w:lvl>
  </w:abstractNum>
  <w:num w:numId="1" w16cid:durableId="15277896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FBE"/>
    <w:rsid w:val="00AE05B7"/>
    <w:rsid w:val="00E80DC2"/>
    <w:rsid w:val="00FC3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7734F"/>
  <w15:docId w15:val="{10135FBE-2C0B-40AE-BA4C-11D5F219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00"/>
      <w:outlineLvl w:val="0"/>
    </w:pPr>
    <w:rPr>
      <w:b/>
      <w:bCs/>
      <w:sz w:val="32"/>
      <w:szCs w:val="32"/>
    </w:rPr>
  </w:style>
  <w:style w:type="paragraph" w:styleId="Heading2">
    <w:name w:val="heading 2"/>
    <w:uiPriority w:val="9"/>
    <w:unhideWhenUsed/>
    <w:qFormat/>
    <w:pPr>
      <w:spacing w:before="200" w:after="160"/>
      <w:outlineLvl w:val="1"/>
    </w:pPr>
    <w:rPr>
      <w:b/>
      <w:bCs/>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900</Words>
  <Characters>6416</Characters>
  <Application>Microsoft Office Word</Application>
  <DocSecurity>0</DocSecurity>
  <Lines>112</Lines>
  <Paragraphs>65</Paragraphs>
  <ScaleCrop>false</ScaleCrop>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Note to the Pathologist</dc:title>
  <dc:subject>Redacted Science - Pathology Instructions</dc:subject>
  <dc:creator>Jim Craddock</dc:creator>
  <cp:keywords>RedactedScience</cp:keywords>
  <cp:lastModifiedBy>Craddock, Jim (HSC)</cp:lastModifiedBy>
  <cp:revision>2</cp:revision>
  <dcterms:created xsi:type="dcterms:W3CDTF">2026-03-16T16:42:00Z</dcterms:created>
  <dcterms:modified xsi:type="dcterms:W3CDTF">2026-03-16T16:42:00Z</dcterms:modified>
</cp:coreProperties>
</file>